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69D" w:rsidRPr="002212B9" w:rsidRDefault="00EA069D" w:rsidP="00EA069D">
      <w:pPr>
        <w:spacing w:before="23" w:after="0" w:line="250" w:lineRule="auto"/>
        <w:ind w:left="100" w:right="85"/>
        <w:rPr>
          <w:rFonts w:ascii="Century Gothic" w:hAnsi="Century Gothic"/>
          <w:b/>
          <w:sz w:val="32"/>
          <w:szCs w:val="24"/>
        </w:rPr>
      </w:pPr>
      <w:bookmarkStart w:id="0" w:name="_GoBack"/>
      <w:bookmarkEnd w:id="0"/>
      <w:r w:rsidRPr="002212B9">
        <w:rPr>
          <w:rFonts w:ascii="Century Gothic" w:hAnsi="Century Gothic"/>
          <w:b/>
          <w:sz w:val="52"/>
          <w:szCs w:val="24"/>
        </w:rPr>
        <w:t>Tri-County Technical College</w:t>
      </w:r>
    </w:p>
    <w:p w:rsidR="00EA069D" w:rsidRPr="002212B9" w:rsidRDefault="00EA069D" w:rsidP="00EA069D">
      <w:pPr>
        <w:spacing w:before="23" w:after="0" w:line="250" w:lineRule="auto"/>
        <w:ind w:left="100" w:right="85"/>
        <w:rPr>
          <w:rFonts w:ascii="Century Gothic" w:hAnsi="Century Gothic"/>
          <w:sz w:val="32"/>
          <w:szCs w:val="24"/>
        </w:rPr>
      </w:pPr>
      <w:r w:rsidRPr="002212B9">
        <w:rPr>
          <w:rFonts w:ascii="Century Gothic" w:hAnsi="Century Gothic"/>
          <w:sz w:val="32"/>
          <w:szCs w:val="24"/>
        </w:rPr>
        <w:t xml:space="preserve">Student Success </w:t>
      </w:r>
      <w:r w:rsidR="00AC626A" w:rsidRPr="002212B9">
        <w:rPr>
          <w:rFonts w:ascii="Century Gothic" w:hAnsi="Century Gothic"/>
          <w:sz w:val="32"/>
          <w:szCs w:val="24"/>
        </w:rPr>
        <w:t>Thresholds and Measures</w:t>
      </w:r>
    </w:p>
    <w:p w:rsidR="00EA069D" w:rsidRPr="002212B9" w:rsidRDefault="00EA069D" w:rsidP="00EA069D">
      <w:pPr>
        <w:spacing w:before="23" w:after="0" w:line="250" w:lineRule="auto"/>
        <w:ind w:left="100" w:right="85"/>
        <w:rPr>
          <w:rFonts w:ascii="Century Gothic" w:hAnsi="Century Gothic"/>
          <w:szCs w:val="24"/>
        </w:rPr>
      </w:pPr>
    </w:p>
    <w:p w:rsidR="00853A76" w:rsidRPr="002212B9" w:rsidRDefault="00EA069D" w:rsidP="00EA069D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  <w:spacing w:val="-9"/>
          <w:szCs w:val="24"/>
        </w:rPr>
      </w:pPr>
      <w:r w:rsidRPr="002212B9">
        <w:rPr>
          <w:rFonts w:ascii="Century Gothic" w:hAnsi="Century Gothic"/>
          <w:szCs w:val="24"/>
        </w:rPr>
        <w:t>As stated in its mission, Tri-County Technical College (TCTC) is focused on “providing students an exceptional and affordable learning experience that improves their quality of life.” To that end</w:t>
      </w:r>
      <w:r w:rsidRPr="002212B9">
        <w:rPr>
          <w:rFonts w:ascii="Century Gothic" w:eastAsia="Arial" w:hAnsi="Century Gothic" w:cs="Arial"/>
          <w:color w:val="231F20"/>
          <w:spacing w:val="-9"/>
          <w:szCs w:val="24"/>
        </w:rPr>
        <w:t xml:space="preserve">, </w:t>
      </w:r>
      <w:r w:rsidR="00853A76" w:rsidRPr="002212B9">
        <w:rPr>
          <w:rFonts w:ascii="Century Gothic" w:eastAsia="Arial" w:hAnsi="Century Gothic" w:cs="Arial"/>
          <w:color w:val="231F20"/>
          <w:spacing w:val="-9"/>
          <w:szCs w:val="24"/>
        </w:rPr>
        <w:t xml:space="preserve">the College has identified </w:t>
      </w:r>
      <w:r w:rsidR="00CD52C9" w:rsidRPr="002212B9">
        <w:rPr>
          <w:rFonts w:ascii="Century Gothic" w:eastAsia="Arial" w:hAnsi="Century Gothic" w:cs="Arial"/>
          <w:color w:val="231F20"/>
          <w:spacing w:val="-9"/>
          <w:szCs w:val="24"/>
        </w:rPr>
        <w:t>six</w:t>
      </w:r>
      <w:r w:rsidR="00853A76" w:rsidRPr="002212B9">
        <w:rPr>
          <w:rFonts w:ascii="Century Gothic" w:eastAsia="Arial" w:hAnsi="Century Gothic" w:cs="Arial"/>
          <w:color w:val="231F20"/>
          <w:spacing w:val="-9"/>
          <w:szCs w:val="24"/>
        </w:rPr>
        <w:t xml:space="preserve"> core success criteria to measure student achievement. These success criteria are appropriate to Tri-County’s mission and provide relevant data to evaluate both TCTC’s progress toward achieving its mission as well as performance measures that determine the appropriation of South Carolina performance funding awards.</w:t>
      </w:r>
    </w:p>
    <w:p w:rsidR="00853A76" w:rsidRPr="002212B9" w:rsidRDefault="00853A76" w:rsidP="00EA069D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  <w:spacing w:val="-9"/>
          <w:szCs w:val="24"/>
        </w:rPr>
      </w:pPr>
    </w:p>
    <w:p w:rsidR="00EA069D" w:rsidRPr="002212B9" w:rsidRDefault="00EA069D" w:rsidP="00EA069D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  <w:szCs w:val="24"/>
        </w:rPr>
      </w:pPr>
      <w:r w:rsidRPr="002212B9">
        <w:rPr>
          <w:rFonts w:ascii="Century Gothic" w:eastAsia="Arial" w:hAnsi="Century Gothic" w:cs="Arial"/>
          <w:color w:val="231F20"/>
          <w:szCs w:val="24"/>
        </w:rPr>
        <w:t xml:space="preserve">The success criteria were identified from measurement standards established by the South Carolina Commission on Higher Education (CHE) and from TCTC’s own strategic planning goals. </w:t>
      </w:r>
      <w:r w:rsidR="00AC626A" w:rsidRPr="002212B9">
        <w:rPr>
          <w:rFonts w:ascii="Century Gothic" w:eastAsia="Arial" w:hAnsi="Century Gothic" w:cs="Arial"/>
          <w:color w:val="231F20"/>
          <w:szCs w:val="24"/>
        </w:rPr>
        <w:t>The minimum thresholds are established each year by the</w:t>
      </w:r>
      <w:r w:rsidR="00CD52C9" w:rsidRPr="002212B9">
        <w:rPr>
          <w:rFonts w:ascii="Century Gothic" w:eastAsia="Arial" w:hAnsi="Century Gothic" w:cs="Arial"/>
          <w:color w:val="231F20"/>
          <w:szCs w:val="24"/>
        </w:rPr>
        <w:t xml:space="preserve"> College and by the</w:t>
      </w:r>
      <w:r w:rsidR="00AC626A" w:rsidRPr="002212B9">
        <w:rPr>
          <w:rFonts w:ascii="Century Gothic" w:eastAsia="Arial" w:hAnsi="Century Gothic" w:cs="Arial"/>
          <w:color w:val="231F20"/>
          <w:szCs w:val="24"/>
        </w:rPr>
        <w:t xml:space="preserve"> South Carolina Technical College System (SCTCS). </w:t>
      </w:r>
      <w:r w:rsidRPr="002212B9">
        <w:rPr>
          <w:rFonts w:ascii="Century Gothic" w:eastAsia="Arial" w:hAnsi="Century Gothic" w:cs="Arial"/>
          <w:color w:val="231F20"/>
          <w:szCs w:val="24"/>
        </w:rPr>
        <w:t>The criteria include:</w:t>
      </w:r>
    </w:p>
    <w:p w:rsidR="00CD52C9" w:rsidRPr="002212B9" w:rsidRDefault="00CD52C9" w:rsidP="00EA069D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  <w:szCs w:val="24"/>
        </w:rPr>
      </w:pPr>
    </w:p>
    <w:tbl>
      <w:tblPr>
        <w:tblStyle w:val="GridTable4-Accent3"/>
        <w:tblW w:w="10790" w:type="dxa"/>
        <w:jc w:val="center"/>
        <w:tblLook w:val="04A0" w:firstRow="1" w:lastRow="0" w:firstColumn="1" w:lastColumn="0" w:noHBand="0" w:noVBand="1"/>
      </w:tblPr>
      <w:tblGrid>
        <w:gridCol w:w="5305"/>
        <w:gridCol w:w="2880"/>
        <w:gridCol w:w="1302"/>
        <w:gridCol w:w="1303"/>
      </w:tblGrid>
      <w:tr w:rsidR="003D3C70" w:rsidTr="00CD52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</w:tcPr>
          <w:p w:rsidR="003D3C70" w:rsidRDefault="003D3C70" w:rsidP="003D3C70">
            <w:pPr>
              <w:spacing w:before="23" w:after="0" w:line="250" w:lineRule="auto"/>
              <w:ind w:right="85"/>
              <w:jc w:val="center"/>
              <w:rPr>
                <w:rFonts w:ascii="Century Gothic" w:eastAsia="Arial" w:hAnsi="Century Gothic" w:cs="Arial"/>
                <w:b w:val="0"/>
                <w:bCs w:val="0"/>
                <w:color w:val="231F20"/>
                <w:sz w:val="24"/>
                <w:szCs w:val="24"/>
              </w:rPr>
            </w:pPr>
          </w:p>
          <w:p w:rsidR="003D3C70" w:rsidRPr="002212B9" w:rsidRDefault="003D3C70" w:rsidP="003D3C70">
            <w:pPr>
              <w:spacing w:before="23" w:after="0" w:line="250" w:lineRule="auto"/>
              <w:ind w:right="85"/>
              <w:jc w:val="center"/>
              <w:rPr>
                <w:rFonts w:ascii="Century Gothic" w:eastAsia="Arial" w:hAnsi="Century Gothic" w:cs="Arial"/>
                <w:b w:val="0"/>
                <w:bCs w:val="0"/>
                <w:color w:val="231F20"/>
                <w:szCs w:val="24"/>
              </w:rPr>
            </w:pPr>
          </w:p>
          <w:p w:rsidR="003D3C70" w:rsidRDefault="003D3C70" w:rsidP="003D3C70">
            <w:pPr>
              <w:spacing w:before="23" w:after="0" w:line="250" w:lineRule="auto"/>
              <w:ind w:right="85"/>
              <w:jc w:val="center"/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Success Criteria</w:t>
            </w:r>
          </w:p>
        </w:tc>
        <w:tc>
          <w:tcPr>
            <w:tcW w:w="2880" w:type="dxa"/>
          </w:tcPr>
          <w:p w:rsidR="002212B9" w:rsidRDefault="002212B9" w:rsidP="003D3C70">
            <w:pPr>
              <w:spacing w:before="23" w:after="0" w:line="250" w:lineRule="auto"/>
              <w:ind w:right="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" w:hAnsi="Century Gothic" w:cs="Arial"/>
                <w:b w:val="0"/>
                <w:bCs w:val="0"/>
                <w:color w:val="231F20"/>
                <w:sz w:val="24"/>
                <w:szCs w:val="24"/>
              </w:rPr>
            </w:pPr>
          </w:p>
          <w:p w:rsidR="003D3C70" w:rsidRDefault="003D3C70" w:rsidP="003D3C70">
            <w:pPr>
              <w:spacing w:before="23" w:after="0" w:line="250" w:lineRule="auto"/>
              <w:ind w:right="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" w:hAnsi="Century Gothic" w:cs="Arial"/>
                <w:b w:val="0"/>
                <w:bCs w:val="0"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Current</w:t>
            </w:r>
          </w:p>
          <w:p w:rsidR="003D3C70" w:rsidRDefault="003D3C70" w:rsidP="003D3C70">
            <w:pPr>
              <w:spacing w:before="23" w:after="0" w:line="250" w:lineRule="auto"/>
              <w:ind w:right="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Minimum Threshold</w:t>
            </w:r>
          </w:p>
        </w:tc>
        <w:tc>
          <w:tcPr>
            <w:tcW w:w="1302" w:type="dxa"/>
          </w:tcPr>
          <w:p w:rsidR="003D3C70" w:rsidRDefault="003D3C70" w:rsidP="003D3C70">
            <w:pPr>
              <w:spacing w:before="23" w:after="0" w:line="250" w:lineRule="auto"/>
              <w:ind w:right="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" w:hAnsi="Century Gothic" w:cs="Arial"/>
                <w:b w:val="0"/>
                <w:bCs w:val="0"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 xml:space="preserve">TCTC’s </w:t>
            </w:r>
          </w:p>
          <w:p w:rsidR="003D3C70" w:rsidRDefault="003D3C70" w:rsidP="003D3C70">
            <w:pPr>
              <w:spacing w:before="23" w:after="0" w:line="250" w:lineRule="auto"/>
              <w:ind w:right="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" w:hAnsi="Century Gothic" w:cs="Arial"/>
                <w:b w:val="0"/>
                <w:bCs w:val="0"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Current</w:t>
            </w:r>
          </w:p>
          <w:p w:rsidR="003D3C70" w:rsidRDefault="003D3C70" w:rsidP="003D3C70">
            <w:pPr>
              <w:spacing w:before="23" w:after="0" w:line="250" w:lineRule="auto"/>
              <w:ind w:right="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Rate</w:t>
            </w:r>
          </w:p>
        </w:tc>
        <w:tc>
          <w:tcPr>
            <w:tcW w:w="1303" w:type="dxa"/>
          </w:tcPr>
          <w:p w:rsidR="003D3C70" w:rsidRDefault="003D3C70" w:rsidP="003D3C70">
            <w:pPr>
              <w:spacing w:before="23" w:after="0" w:line="250" w:lineRule="auto"/>
              <w:ind w:right="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" w:hAnsi="Century Gothic" w:cs="Arial"/>
                <w:b w:val="0"/>
                <w:bCs w:val="0"/>
                <w:color w:val="231F20"/>
                <w:sz w:val="24"/>
                <w:szCs w:val="24"/>
              </w:rPr>
            </w:pPr>
          </w:p>
          <w:p w:rsidR="003D3C70" w:rsidRPr="003D3C70" w:rsidRDefault="003D3C70" w:rsidP="003D3C70">
            <w:pPr>
              <w:spacing w:before="23" w:after="0" w:line="250" w:lineRule="auto"/>
              <w:ind w:right="85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" w:hAnsi="Century Gothic" w:cs="Arial"/>
                <w:b w:val="0"/>
                <w:bCs w:val="0"/>
                <w:color w:val="231F20"/>
                <w:sz w:val="24"/>
                <w:szCs w:val="24"/>
              </w:rPr>
            </w:pPr>
            <w:r>
              <w:rPr>
                <w:rFonts w:ascii="Century Gothic" w:eastAsia="Arial" w:hAnsi="Century Gothic" w:cs="Arial"/>
                <w:color w:val="231F20"/>
                <w:sz w:val="24"/>
                <w:szCs w:val="24"/>
              </w:rPr>
              <w:t>Met Target?</w:t>
            </w:r>
          </w:p>
        </w:tc>
      </w:tr>
      <w:tr w:rsidR="003D3C70" w:rsidTr="00CD5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bottom"/>
          </w:tcPr>
          <w:p w:rsidR="003D3C70" w:rsidRDefault="003D3C70" w:rsidP="003D3C70">
            <w:pPr>
              <w:spacing w:before="23" w:after="0" w:line="250" w:lineRule="auto"/>
              <w:ind w:right="85"/>
              <w:rPr>
                <w:rFonts w:ascii="Century Gothic" w:eastAsia="Arial" w:hAnsi="Century Gothic" w:cs="Arial"/>
                <w:bCs w:val="0"/>
                <w:color w:val="231F20"/>
                <w:szCs w:val="24"/>
              </w:rPr>
            </w:pPr>
          </w:p>
          <w:p w:rsidR="003D3C70" w:rsidRPr="00D2609B" w:rsidRDefault="003D3C70" w:rsidP="003D3C70">
            <w:pPr>
              <w:spacing w:before="23" w:after="0" w:line="250" w:lineRule="auto"/>
              <w:ind w:right="85"/>
              <w:rPr>
                <w:rFonts w:ascii="Century Gothic" w:eastAsia="Arial" w:hAnsi="Century Gothic" w:cs="Arial"/>
                <w:bCs w:val="0"/>
                <w:color w:val="231F20"/>
                <w:szCs w:val="24"/>
              </w:rPr>
            </w:pPr>
            <w:r w:rsidRPr="00B25B4A">
              <w:rPr>
                <w:rFonts w:ascii="Century Gothic" w:eastAsia="Arial" w:hAnsi="Century Gothic" w:cs="Arial"/>
                <w:b w:val="0"/>
                <w:color w:val="231F20"/>
                <w:szCs w:val="24"/>
              </w:rPr>
              <w:t>Graduate Placement Rate</w:t>
            </w:r>
          </w:p>
        </w:tc>
        <w:tc>
          <w:tcPr>
            <w:tcW w:w="2880" w:type="dxa"/>
            <w:vAlign w:val="bottom"/>
          </w:tcPr>
          <w:p w:rsidR="003D3C70" w:rsidRPr="002928F7" w:rsidRDefault="003D3C70" w:rsidP="003D3C70">
            <w:pPr>
              <w:spacing w:before="23" w:after="0" w:line="250" w:lineRule="auto"/>
              <w:ind w:right="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 w:cs="Arial"/>
                <w:color w:val="231F20"/>
                <w:szCs w:val="24"/>
              </w:rPr>
            </w:pPr>
            <w:r w:rsidRPr="002928F7">
              <w:rPr>
                <w:rFonts w:ascii="Century Gothic" w:eastAsia="Arial" w:hAnsi="Century Gothic" w:cs="Arial"/>
                <w:color w:val="231F20"/>
                <w:szCs w:val="24"/>
              </w:rPr>
              <w:t>80%</w:t>
            </w:r>
          </w:p>
        </w:tc>
        <w:tc>
          <w:tcPr>
            <w:tcW w:w="1302" w:type="dxa"/>
            <w:vAlign w:val="bottom"/>
          </w:tcPr>
          <w:p w:rsidR="003D3C70" w:rsidRPr="002928F7" w:rsidRDefault="003D3C70" w:rsidP="003D3C70">
            <w:pPr>
              <w:spacing w:before="23" w:after="0" w:line="250" w:lineRule="auto"/>
              <w:ind w:right="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 w:cs="Arial"/>
                <w:color w:val="231F20"/>
                <w:szCs w:val="24"/>
              </w:rPr>
            </w:pPr>
            <w:r>
              <w:rPr>
                <w:rFonts w:ascii="Century Gothic" w:eastAsia="Arial" w:hAnsi="Century Gothic" w:cs="Arial"/>
                <w:color w:val="231F20"/>
                <w:szCs w:val="24"/>
              </w:rPr>
              <w:t>93</w:t>
            </w:r>
            <w:r w:rsidRPr="002928F7">
              <w:rPr>
                <w:rFonts w:ascii="Century Gothic" w:eastAsia="Arial" w:hAnsi="Century Gothic" w:cs="Arial"/>
                <w:color w:val="231F20"/>
                <w:szCs w:val="24"/>
              </w:rPr>
              <w:t>%</w:t>
            </w:r>
          </w:p>
        </w:tc>
        <w:tc>
          <w:tcPr>
            <w:tcW w:w="1303" w:type="dxa"/>
            <w:vAlign w:val="bottom"/>
          </w:tcPr>
          <w:p w:rsidR="003D3C70" w:rsidRPr="002928F7" w:rsidRDefault="003D3C70" w:rsidP="003D3C70">
            <w:pPr>
              <w:spacing w:before="23" w:after="0" w:line="250" w:lineRule="auto"/>
              <w:ind w:right="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 w:cs="Arial"/>
                <w:color w:val="231F20"/>
                <w:szCs w:val="24"/>
              </w:rPr>
            </w:pPr>
            <w:r>
              <w:rPr>
                <w:rFonts w:ascii="Century Gothic" w:eastAsia="Arial" w:hAnsi="Century Gothic" w:cs="Arial"/>
                <w:color w:val="231F20"/>
                <w:szCs w:val="24"/>
              </w:rPr>
              <w:t>Yes</w:t>
            </w:r>
          </w:p>
        </w:tc>
      </w:tr>
      <w:tr w:rsidR="003D3C70" w:rsidTr="00CD52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bottom"/>
          </w:tcPr>
          <w:p w:rsidR="003D3C70" w:rsidRPr="00D2609B" w:rsidRDefault="003D3C70" w:rsidP="003D3C70">
            <w:pPr>
              <w:tabs>
                <w:tab w:val="right" w:pos="4284"/>
              </w:tabs>
              <w:spacing w:before="23" w:after="0" w:line="250" w:lineRule="auto"/>
              <w:ind w:right="85"/>
              <w:rPr>
                <w:rFonts w:ascii="Century Gothic" w:eastAsia="Arial" w:hAnsi="Century Gothic" w:cs="Arial"/>
                <w:bCs w:val="0"/>
                <w:color w:val="231F20"/>
              </w:rPr>
            </w:pPr>
            <w:r w:rsidRPr="00D2609B">
              <w:rPr>
                <w:rFonts w:ascii="Century Gothic" w:eastAsia="Arial" w:hAnsi="Century Gothic" w:cs="Arial"/>
                <w:b w:val="0"/>
                <w:color w:val="231F20"/>
              </w:rPr>
              <w:t>Licensure Examination Pass Rate</w:t>
            </w:r>
          </w:p>
          <w:p w:rsidR="003D3C70" w:rsidRPr="00D2609B" w:rsidRDefault="003D3C70" w:rsidP="003D3C70">
            <w:pPr>
              <w:tabs>
                <w:tab w:val="right" w:pos="4284"/>
              </w:tabs>
              <w:spacing w:before="23" w:after="0" w:line="250" w:lineRule="auto"/>
              <w:ind w:right="85"/>
              <w:rPr>
                <w:rFonts w:ascii="Century Gothic" w:eastAsia="Arial" w:hAnsi="Century Gothic" w:cs="Arial"/>
                <w:b w:val="0"/>
                <w:color w:val="231F20"/>
                <w:sz w:val="24"/>
                <w:szCs w:val="24"/>
              </w:rPr>
            </w:pPr>
            <w:r w:rsidRPr="00D2609B">
              <w:rPr>
                <w:rFonts w:ascii="Century Gothic" w:eastAsia="Arial" w:hAnsi="Century Gothic" w:cs="Arial"/>
                <w:b w:val="0"/>
                <w:color w:val="231F20"/>
              </w:rPr>
              <w:t>(overall pass rate on first-time licensure exams)</w:t>
            </w:r>
          </w:p>
        </w:tc>
        <w:tc>
          <w:tcPr>
            <w:tcW w:w="2880" w:type="dxa"/>
            <w:vAlign w:val="bottom"/>
          </w:tcPr>
          <w:p w:rsidR="003D3C70" w:rsidRPr="002928F7" w:rsidRDefault="003D3C70" w:rsidP="003D3C70">
            <w:pPr>
              <w:spacing w:before="23" w:after="0" w:line="250" w:lineRule="auto"/>
              <w:ind w:right="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" w:hAnsi="Century Gothic" w:cs="Arial"/>
                <w:color w:val="231F20"/>
                <w:szCs w:val="24"/>
              </w:rPr>
            </w:pPr>
            <w:r w:rsidRPr="002928F7">
              <w:rPr>
                <w:rFonts w:ascii="Century Gothic" w:eastAsia="Arial" w:hAnsi="Century Gothic" w:cs="Arial"/>
                <w:color w:val="231F20"/>
                <w:szCs w:val="24"/>
              </w:rPr>
              <w:t>80%</w:t>
            </w:r>
          </w:p>
        </w:tc>
        <w:tc>
          <w:tcPr>
            <w:tcW w:w="1302" w:type="dxa"/>
            <w:vAlign w:val="bottom"/>
          </w:tcPr>
          <w:p w:rsidR="003D3C70" w:rsidRPr="002928F7" w:rsidRDefault="003D3C70" w:rsidP="003D3C70">
            <w:pPr>
              <w:spacing w:before="23" w:after="0" w:line="250" w:lineRule="auto"/>
              <w:ind w:right="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" w:hAnsi="Century Gothic" w:cs="Arial"/>
                <w:color w:val="231F20"/>
                <w:szCs w:val="24"/>
              </w:rPr>
            </w:pPr>
            <w:r w:rsidRPr="002928F7">
              <w:rPr>
                <w:rFonts w:ascii="Century Gothic" w:eastAsia="Arial" w:hAnsi="Century Gothic" w:cs="Arial"/>
                <w:color w:val="231F20"/>
                <w:szCs w:val="24"/>
              </w:rPr>
              <w:t>8</w:t>
            </w:r>
            <w:r>
              <w:rPr>
                <w:rFonts w:ascii="Century Gothic" w:eastAsia="Arial" w:hAnsi="Century Gothic" w:cs="Arial"/>
                <w:color w:val="231F20"/>
                <w:szCs w:val="24"/>
              </w:rPr>
              <w:t>7</w:t>
            </w:r>
            <w:r w:rsidRPr="002928F7">
              <w:rPr>
                <w:rFonts w:ascii="Century Gothic" w:eastAsia="Arial" w:hAnsi="Century Gothic" w:cs="Arial"/>
                <w:color w:val="231F20"/>
                <w:szCs w:val="24"/>
              </w:rPr>
              <w:t>%</w:t>
            </w:r>
          </w:p>
        </w:tc>
        <w:tc>
          <w:tcPr>
            <w:tcW w:w="1303" w:type="dxa"/>
            <w:vAlign w:val="bottom"/>
          </w:tcPr>
          <w:p w:rsidR="003D3C70" w:rsidRPr="002928F7" w:rsidRDefault="003D3C70" w:rsidP="003D3C70">
            <w:pPr>
              <w:spacing w:before="23" w:after="0" w:line="250" w:lineRule="auto"/>
              <w:ind w:right="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" w:hAnsi="Century Gothic" w:cs="Arial"/>
                <w:color w:val="231F20"/>
                <w:szCs w:val="24"/>
              </w:rPr>
            </w:pPr>
            <w:r>
              <w:rPr>
                <w:rFonts w:ascii="Century Gothic" w:eastAsia="Arial" w:hAnsi="Century Gothic" w:cs="Arial"/>
                <w:color w:val="231F20"/>
                <w:szCs w:val="24"/>
              </w:rPr>
              <w:t>Yes</w:t>
            </w:r>
          </w:p>
        </w:tc>
      </w:tr>
      <w:tr w:rsidR="003D3C70" w:rsidTr="00CD5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bottom"/>
          </w:tcPr>
          <w:p w:rsidR="003D3C70" w:rsidRDefault="003D3C70" w:rsidP="003D3C70">
            <w:pPr>
              <w:tabs>
                <w:tab w:val="right" w:pos="4284"/>
              </w:tabs>
              <w:spacing w:before="23" w:after="0" w:line="250" w:lineRule="auto"/>
              <w:ind w:right="85"/>
              <w:rPr>
                <w:rFonts w:ascii="Century Gothic" w:eastAsia="Arial" w:hAnsi="Century Gothic" w:cs="Arial"/>
                <w:bCs w:val="0"/>
                <w:color w:val="231F20"/>
                <w:szCs w:val="24"/>
              </w:rPr>
            </w:pPr>
          </w:p>
          <w:p w:rsidR="003D3C70" w:rsidRPr="00D2609B" w:rsidRDefault="003D3C70" w:rsidP="003D3C70">
            <w:pPr>
              <w:tabs>
                <w:tab w:val="right" w:pos="4284"/>
              </w:tabs>
              <w:spacing w:before="23" w:after="0" w:line="250" w:lineRule="auto"/>
              <w:ind w:right="85"/>
              <w:rPr>
                <w:rFonts w:ascii="Century Gothic" w:eastAsia="Arial" w:hAnsi="Century Gothic" w:cs="Arial"/>
                <w:bCs w:val="0"/>
                <w:color w:val="231F20"/>
                <w:szCs w:val="24"/>
              </w:rPr>
            </w:pPr>
            <w:r w:rsidRPr="00B25B4A">
              <w:rPr>
                <w:rFonts w:ascii="Century Gothic" w:eastAsia="Arial" w:hAnsi="Century Gothic" w:cs="Arial"/>
                <w:b w:val="0"/>
                <w:color w:val="231F20"/>
                <w:szCs w:val="24"/>
              </w:rPr>
              <w:t>Fall to Spring Persistence Rate</w:t>
            </w:r>
          </w:p>
        </w:tc>
        <w:tc>
          <w:tcPr>
            <w:tcW w:w="2880" w:type="dxa"/>
            <w:vAlign w:val="bottom"/>
          </w:tcPr>
          <w:p w:rsidR="003D3C70" w:rsidRPr="002928F7" w:rsidRDefault="003D3C70" w:rsidP="003D3C70">
            <w:pPr>
              <w:spacing w:before="23" w:after="0" w:line="250" w:lineRule="auto"/>
              <w:ind w:right="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 w:cs="Arial"/>
                <w:color w:val="231F20"/>
                <w:szCs w:val="24"/>
              </w:rPr>
            </w:pPr>
            <w:r>
              <w:rPr>
                <w:rFonts w:ascii="Century Gothic" w:eastAsia="Arial" w:hAnsi="Century Gothic" w:cs="Arial"/>
                <w:color w:val="231F20"/>
                <w:szCs w:val="24"/>
              </w:rPr>
              <w:t>71%</w:t>
            </w:r>
          </w:p>
        </w:tc>
        <w:tc>
          <w:tcPr>
            <w:tcW w:w="1302" w:type="dxa"/>
            <w:vAlign w:val="bottom"/>
          </w:tcPr>
          <w:p w:rsidR="003D3C70" w:rsidRPr="002928F7" w:rsidRDefault="003D3C70" w:rsidP="003D3C70">
            <w:pPr>
              <w:spacing w:before="23" w:after="0" w:line="250" w:lineRule="auto"/>
              <w:ind w:right="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 w:cs="Arial"/>
                <w:color w:val="231F20"/>
                <w:szCs w:val="24"/>
              </w:rPr>
            </w:pPr>
            <w:r>
              <w:rPr>
                <w:rFonts w:ascii="Century Gothic" w:eastAsia="Arial" w:hAnsi="Century Gothic" w:cs="Arial"/>
                <w:color w:val="231F20"/>
                <w:szCs w:val="24"/>
              </w:rPr>
              <w:t>80%</w:t>
            </w:r>
          </w:p>
        </w:tc>
        <w:tc>
          <w:tcPr>
            <w:tcW w:w="1303" w:type="dxa"/>
            <w:vAlign w:val="bottom"/>
          </w:tcPr>
          <w:p w:rsidR="003D3C70" w:rsidRPr="002928F7" w:rsidRDefault="003D3C70" w:rsidP="003D3C70">
            <w:pPr>
              <w:spacing w:before="23" w:after="0" w:line="250" w:lineRule="auto"/>
              <w:ind w:right="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 w:cs="Arial"/>
                <w:color w:val="231F20"/>
                <w:szCs w:val="24"/>
              </w:rPr>
            </w:pPr>
            <w:r>
              <w:rPr>
                <w:rFonts w:ascii="Century Gothic" w:eastAsia="Arial" w:hAnsi="Century Gothic" w:cs="Arial"/>
                <w:color w:val="231F20"/>
                <w:szCs w:val="24"/>
              </w:rPr>
              <w:t>Yes</w:t>
            </w:r>
          </w:p>
        </w:tc>
      </w:tr>
      <w:tr w:rsidR="003D3C70" w:rsidTr="00CD52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bottom"/>
          </w:tcPr>
          <w:p w:rsidR="003D3C70" w:rsidRDefault="003D3C70" w:rsidP="003D3C70">
            <w:pPr>
              <w:tabs>
                <w:tab w:val="right" w:pos="4284"/>
              </w:tabs>
              <w:spacing w:before="23" w:after="0" w:line="250" w:lineRule="auto"/>
              <w:ind w:right="85"/>
              <w:rPr>
                <w:rFonts w:ascii="Century Gothic" w:eastAsia="Arial" w:hAnsi="Century Gothic" w:cs="Arial"/>
                <w:b w:val="0"/>
                <w:bCs w:val="0"/>
                <w:color w:val="231F20"/>
                <w:szCs w:val="24"/>
              </w:rPr>
            </w:pPr>
          </w:p>
          <w:p w:rsidR="003D3C70" w:rsidRPr="00D2609B" w:rsidRDefault="003D3C70" w:rsidP="003D3C70">
            <w:pPr>
              <w:tabs>
                <w:tab w:val="right" w:pos="4284"/>
              </w:tabs>
              <w:spacing w:before="23" w:after="0" w:line="250" w:lineRule="auto"/>
              <w:ind w:right="85"/>
              <w:rPr>
                <w:rFonts w:ascii="Century Gothic" w:eastAsia="Arial" w:hAnsi="Century Gothic" w:cs="Arial"/>
                <w:b w:val="0"/>
                <w:bCs w:val="0"/>
                <w:color w:val="231F20"/>
                <w:szCs w:val="24"/>
              </w:rPr>
            </w:pPr>
            <w:r w:rsidRPr="00B25B4A">
              <w:rPr>
                <w:rFonts w:ascii="Century Gothic" w:eastAsia="Arial" w:hAnsi="Century Gothic" w:cs="Arial"/>
                <w:b w:val="0"/>
                <w:color w:val="231F20"/>
                <w:szCs w:val="24"/>
              </w:rPr>
              <w:t>Graduate Production Rate</w:t>
            </w:r>
          </w:p>
        </w:tc>
        <w:tc>
          <w:tcPr>
            <w:tcW w:w="2880" w:type="dxa"/>
            <w:vAlign w:val="bottom"/>
          </w:tcPr>
          <w:p w:rsidR="003D3C70" w:rsidRDefault="003D3C70" w:rsidP="003D3C70">
            <w:pPr>
              <w:spacing w:before="23" w:after="0" w:line="250" w:lineRule="auto"/>
              <w:ind w:right="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" w:hAnsi="Century Gothic" w:cs="Arial"/>
                <w:color w:val="231F20"/>
                <w:szCs w:val="24"/>
              </w:rPr>
            </w:pPr>
            <w:r>
              <w:rPr>
                <w:rFonts w:ascii="Century Gothic" w:eastAsia="Arial" w:hAnsi="Century Gothic" w:cs="Arial"/>
                <w:color w:val="231F20"/>
                <w:szCs w:val="24"/>
              </w:rPr>
              <w:t>20%</w:t>
            </w:r>
          </w:p>
        </w:tc>
        <w:tc>
          <w:tcPr>
            <w:tcW w:w="1302" w:type="dxa"/>
            <w:vAlign w:val="bottom"/>
          </w:tcPr>
          <w:p w:rsidR="003D3C70" w:rsidRDefault="003D3C70" w:rsidP="003D3C70">
            <w:pPr>
              <w:spacing w:before="23" w:after="0" w:line="250" w:lineRule="auto"/>
              <w:ind w:right="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" w:hAnsi="Century Gothic" w:cs="Arial"/>
                <w:color w:val="231F20"/>
                <w:szCs w:val="24"/>
              </w:rPr>
            </w:pPr>
            <w:r>
              <w:rPr>
                <w:rFonts w:ascii="Century Gothic" w:eastAsia="Arial" w:hAnsi="Century Gothic" w:cs="Arial"/>
                <w:color w:val="231F20"/>
                <w:szCs w:val="24"/>
              </w:rPr>
              <w:t>48%</w:t>
            </w:r>
          </w:p>
        </w:tc>
        <w:tc>
          <w:tcPr>
            <w:tcW w:w="1303" w:type="dxa"/>
            <w:vAlign w:val="bottom"/>
          </w:tcPr>
          <w:p w:rsidR="003D3C70" w:rsidRDefault="003D3C70" w:rsidP="003D3C70">
            <w:pPr>
              <w:spacing w:before="23" w:after="0" w:line="250" w:lineRule="auto"/>
              <w:ind w:right="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" w:hAnsi="Century Gothic" w:cs="Arial"/>
                <w:color w:val="231F20"/>
                <w:szCs w:val="24"/>
              </w:rPr>
            </w:pPr>
            <w:r>
              <w:rPr>
                <w:rFonts w:ascii="Century Gothic" w:eastAsia="Arial" w:hAnsi="Century Gothic" w:cs="Arial"/>
                <w:color w:val="231F20"/>
                <w:szCs w:val="24"/>
              </w:rPr>
              <w:t>Yes</w:t>
            </w:r>
          </w:p>
        </w:tc>
      </w:tr>
      <w:tr w:rsidR="003D3C70" w:rsidTr="00CD52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bottom"/>
          </w:tcPr>
          <w:p w:rsidR="003D3C70" w:rsidRDefault="003D3C70" w:rsidP="003D3C70">
            <w:pPr>
              <w:tabs>
                <w:tab w:val="right" w:pos="4284"/>
              </w:tabs>
              <w:spacing w:before="23" w:after="0" w:line="250" w:lineRule="auto"/>
              <w:ind w:right="85"/>
              <w:rPr>
                <w:rFonts w:ascii="Century Gothic" w:eastAsia="Arial" w:hAnsi="Century Gothic" w:cs="Arial"/>
                <w:bCs w:val="0"/>
                <w:color w:val="231F20"/>
                <w:szCs w:val="24"/>
              </w:rPr>
            </w:pPr>
          </w:p>
          <w:p w:rsidR="003D3C70" w:rsidRPr="00D2609B" w:rsidRDefault="003D3C70" w:rsidP="003D3C70">
            <w:pPr>
              <w:tabs>
                <w:tab w:val="right" w:pos="4284"/>
              </w:tabs>
              <w:spacing w:before="23" w:after="0" w:line="250" w:lineRule="auto"/>
              <w:ind w:right="85"/>
              <w:rPr>
                <w:rFonts w:ascii="Century Gothic" w:eastAsia="Arial" w:hAnsi="Century Gothic" w:cs="Arial"/>
                <w:bCs w:val="0"/>
                <w:color w:val="231F20"/>
                <w:szCs w:val="24"/>
              </w:rPr>
            </w:pPr>
            <w:r w:rsidRPr="00B25B4A">
              <w:rPr>
                <w:rFonts w:ascii="Century Gothic" w:eastAsia="Arial" w:hAnsi="Century Gothic" w:cs="Arial"/>
                <w:b w:val="0"/>
                <w:color w:val="231F20"/>
                <w:szCs w:val="24"/>
              </w:rPr>
              <w:t>Student Success Rate</w:t>
            </w:r>
          </w:p>
        </w:tc>
        <w:tc>
          <w:tcPr>
            <w:tcW w:w="2880" w:type="dxa"/>
            <w:vAlign w:val="bottom"/>
          </w:tcPr>
          <w:p w:rsidR="003D3C70" w:rsidRDefault="003D3C70" w:rsidP="003D3C70">
            <w:pPr>
              <w:spacing w:before="23" w:after="0" w:line="250" w:lineRule="auto"/>
              <w:ind w:right="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 w:cs="Arial"/>
                <w:color w:val="231F20"/>
                <w:szCs w:val="24"/>
              </w:rPr>
            </w:pPr>
            <w:r>
              <w:rPr>
                <w:rFonts w:ascii="Century Gothic" w:eastAsia="Arial" w:hAnsi="Century Gothic" w:cs="Arial"/>
                <w:color w:val="231F20"/>
                <w:szCs w:val="24"/>
              </w:rPr>
              <w:t>49%</w:t>
            </w:r>
          </w:p>
        </w:tc>
        <w:tc>
          <w:tcPr>
            <w:tcW w:w="1302" w:type="dxa"/>
            <w:vAlign w:val="bottom"/>
          </w:tcPr>
          <w:p w:rsidR="003D3C70" w:rsidRDefault="003D3C70" w:rsidP="003D3C70">
            <w:pPr>
              <w:spacing w:before="23" w:after="0" w:line="250" w:lineRule="auto"/>
              <w:ind w:right="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 w:cs="Arial"/>
                <w:color w:val="231F20"/>
                <w:szCs w:val="24"/>
              </w:rPr>
            </w:pPr>
            <w:r>
              <w:rPr>
                <w:rFonts w:ascii="Century Gothic" w:eastAsia="Arial" w:hAnsi="Century Gothic" w:cs="Arial"/>
                <w:color w:val="231F20"/>
                <w:szCs w:val="24"/>
              </w:rPr>
              <w:t>68%</w:t>
            </w:r>
          </w:p>
        </w:tc>
        <w:tc>
          <w:tcPr>
            <w:tcW w:w="1303" w:type="dxa"/>
            <w:vAlign w:val="bottom"/>
          </w:tcPr>
          <w:p w:rsidR="003D3C70" w:rsidRDefault="003D3C70" w:rsidP="003D3C70">
            <w:pPr>
              <w:spacing w:before="23" w:after="0" w:line="250" w:lineRule="auto"/>
              <w:ind w:right="8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Arial" w:hAnsi="Century Gothic" w:cs="Arial"/>
                <w:color w:val="231F20"/>
                <w:szCs w:val="24"/>
              </w:rPr>
            </w:pPr>
            <w:r>
              <w:rPr>
                <w:rFonts w:ascii="Century Gothic" w:eastAsia="Arial" w:hAnsi="Century Gothic" w:cs="Arial"/>
                <w:color w:val="231F20"/>
                <w:szCs w:val="24"/>
              </w:rPr>
              <w:t>Yes</w:t>
            </w:r>
          </w:p>
        </w:tc>
      </w:tr>
      <w:tr w:rsidR="00CD52C9" w:rsidTr="00CD52C9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05" w:type="dxa"/>
            <w:vAlign w:val="bottom"/>
          </w:tcPr>
          <w:p w:rsidR="00CD52C9" w:rsidRPr="00CD52C9" w:rsidRDefault="00CD52C9" w:rsidP="003D3C70">
            <w:pPr>
              <w:tabs>
                <w:tab w:val="right" w:pos="4284"/>
              </w:tabs>
              <w:spacing w:before="23" w:after="0" w:line="250" w:lineRule="auto"/>
              <w:ind w:right="85"/>
              <w:rPr>
                <w:rFonts w:ascii="Century Gothic" w:eastAsia="Arial" w:hAnsi="Century Gothic" w:cs="Arial"/>
                <w:b w:val="0"/>
                <w:bCs w:val="0"/>
                <w:color w:val="231F20"/>
                <w:szCs w:val="24"/>
              </w:rPr>
            </w:pPr>
            <w:r w:rsidRPr="00CD52C9">
              <w:rPr>
                <w:rFonts w:ascii="Century Gothic" w:eastAsia="Arial" w:hAnsi="Century Gothic" w:cs="Arial"/>
                <w:b w:val="0"/>
                <w:bCs w:val="0"/>
                <w:color w:val="231F20"/>
                <w:szCs w:val="24"/>
              </w:rPr>
              <w:t xml:space="preserve">National </w:t>
            </w:r>
            <w:r>
              <w:rPr>
                <w:rFonts w:ascii="Century Gothic" w:eastAsia="Arial" w:hAnsi="Century Gothic" w:cs="Arial"/>
                <w:b w:val="0"/>
                <w:bCs w:val="0"/>
                <w:color w:val="231F20"/>
                <w:szCs w:val="24"/>
              </w:rPr>
              <w:t>Student Clearinghouse Total Completion Rate</w:t>
            </w:r>
          </w:p>
        </w:tc>
        <w:tc>
          <w:tcPr>
            <w:tcW w:w="2880" w:type="dxa"/>
            <w:vAlign w:val="bottom"/>
          </w:tcPr>
          <w:p w:rsidR="00CD52C9" w:rsidRDefault="00CD52C9" w:rsidP="003D3C70">
            <w:pPr>
              <w:spacing w:before="23" w:after="0" w:line="250" w:lineRule="auto"/>
              <w:ind w:right="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" w:hAnsi="Century Gothic" w:cs="Arial"/>
                <w:color w:val="231F20"/>
                <w:szCs w:val="24"/>
              </w:rPr>
            </w:pPr>
            <w:r>
              <w:rPr>
                <w:rFonts w:ascii="Century Gothic" w:eastAsia="Arial" w:hAnsi="Century Gothic" w:cs="Arial"/>
                <w:color w:val="231F20"/>
                <w:szCs w:val="24"/>
              </w:rPr>
              <w:t>Meet or exceed National Benchmark (41%)</w:t>
            </w:r>
          </w:p>
        </w:tc>
        <w:tc>
          <w:tcPr>
            <w:tcW w:w="1302" w:type="dxa"/>
            <w:vAlign w:val="bottom"/>
          </w:tcPr>
          <w:p w:rsidR="00CD52C9" w:rsidRDefault="00CD52C9" w:rsidP="003D3C70">
            <w:pPr>
              <w:spacing w:before="23" w:after="0" w:line="250" w:lineRule="auto"/>
              <w:ind w:right="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" w:hAnsi="Century Gothic" w:cs="Arial"/>
                <w:color w:val="231F20"/>
                <w:szCs w:val="24"/>
              </w:rPr>
            </w:pPr>
            <w:r>
              <w:rPr>
                <w:rFonts w:ascii="Century Gothic" w:eastAsia="Arial" w:hAnsi="Century Gothic" w:cs="Arial"/>
                <w:color w:val="231F20"/>
                <w:szCs w:val="24"/>
              </w:rPr>
              <w:t>56%</w:t>
            </w:r>
          </w:p>
        </w:tc>
        <w:tc>
          <w:tcPr>
            <w:tcW w:w="1303" w:type="dxa"/>
            <w:vAlign w:val="bottom"/>
          </w:tcPr>
          <w:p w:rsidR="00CD52C9" w:rsidRDefault="00CD52C9" w:rsidP="003D3C70">
            <w:pPr>
              <w:spacing w:before="23" w:after="0" w:line="250" w:lineRule="auto"/>
              <w:ind w:right="8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Arial" w:hAnsi="Century Gothic" w:cs="Arial"/>
                <w:color w:val="231F20"/>
                <w:szCs w:val="24"/>
              </w:rPr>
            </w:pPr>
            <w:r>
              <w:rPr>
                <w:rFonts w:ascii="Century Gothic" w:eastAsia="Arial" w:hAnsi="Century Gothic" w:cs="Arial"/>
                <w:color w:val="231F20"/>
                <w:szCs w:val="24"/>
              </w:rPr>
              <w:t>Yes</w:t>
            </w:r>
          </w:p>
        </w:tc>
      </w:tr>
    </w:tbl>
    <w:p w:rsidR="00EA069D" w:rsidRPr="002212B9" w:rsidRDefault="00EA069D" w:rsidP="00EA069D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  <w:sz w:val="20"/>
          <w:szCs w:val="24"/>
        </w:rPr>
      </w:pPr>
    </w:p>
    <w:p w:rsidR="00B802E4" w:rsidRPr="002212B9" w:rsidRDefault="00B802E4" w:rsidP="00B802E4">
      <w:pPr>
        <w:spacing w:before="23" w:after="0" w:line="250" w:lineRule="auto"/>
        <w:ind w:left="100" w:right="85"/>
        <w:rPr>
          <w:rFonts w:ascii="Century Gothic" w:eastAsia="Arial" w:hAnsi="Century Gothic" w:cs="Arial"/>
          <w:b/>
          <w:color w:val="231F20"/>
          <w:szCs w:val="24"/>
          <w:u w:val="single"/>
        </w:rPr>
      </w:pPr>
      <w:r w:rsidRPr="002212B9">
        <w:rPr>
          <w:rFonts w:ascii="Century Gothic" w:eastAsia="Arial" w:hAnsi="Century Gothic" w:cs="Arial"/>
          <w:b/>
          <w:color w:val="231F20"/>
          <w:szCs w:val="24"/>
          <w:u w:val="single"/>
        </w:rPr>
        <w:t>Graduate Placement Rate</w:t>
      </w:r>
    </w:p>
    <w:p w:rsidR="00B802E4" w:rsidRPr="002212B9" w:rsidRDefault="0071425B" w:rsidP="00B802E4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  <w:szCs w:val="24"/>
        </w:rPr>
      </w:pPr>
      <w:r w:rsidRPr="002212B9">
        <w:rPr>
          <w:rFonts w:ascii="Century Gothic" w:eastAsia="Arial" w:hAnsi="Century Gothic" w:cs="Arial"/>
          <w:color w:val="231F20"/>
          <w:szCs w:val="24"/>
        </w:rPr>
        <w:t xml:space="preserve">The graduate placement rate is the percentage of graduates who are placed in a job related to their field of education or who are continuing their education at a four-year institution. </w:t>
      </w:r>
      <w:r w:rsidR="00B802E4" w:rsidRPr="002212B9">
        <w:rPr>
          <w:rFonts w:ascii="Century Gothic" w:eastAsia="Arial" w:hAnsi="Century Gothic" w:cs="Arial"/>
          <w:color w:val="231F20"/>
          <w:szCs w:val="24"/>
        </w:rPr>
        <w:t>For the past five years, TCTC has exceeded the minimum threshold for the graduate placement rate. TCTC’s five-year average placement rate is 9</w:t>
      </w:r>
      <w:r w:rsidR="00B5521F" w:rsidRPr="002212B9">
        <w:rPr>
          <w:rFonts w:ascii="Century Gothic" w:eastAsia="Arial" w:hAnsi="Century Gothic" w:cs="Arial"/>
          <w:color w:val="231F20"/>
          <w:szCs w:val="24"/>
        </w:rPr>
        <w:t>1</w:t>
      </w:r>
      <w:r w:rsidR="00B802E4" w:rsidRPr="002212B9">
        <w:rPr>
          <w:rFonts w:ascii="Century Gothic" w:eastAsia="Arial" w:hAnsi="Century Gothic" w:cs="Arial"/>
          <w:color w:val="231F20"/>
          <w:szCs w:val="24"/>
        </w:rPr>
        <w:t>%, and its current placement rate is 93%. Furthermore, TCTC consistently exceeds the System average graduation rate.</w:t>
      </w:r>
    </w:p>
    <w:p w:rsidR="00B802E4" w:rsidRPr="002212B9" w:rsidRDefault="00B802E4" w:rsidP="00B802E4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  <w:szCs w:val="24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2775"/>
        <w:gridCol w:w="1583"/>
        <w:gridCol w:w="1583"/>
        <w:gridCol w:w="1583"/>
        <w:gridCol w:w="1583"/>
        <w:gridCol w:w="1583"/>
      </w:tblGrid>
      <w:tr w:rsidR="00B802E4" w:rsidTr="00416DAC">
        <w:tc>
          <w:tcPr>
            <w:tcW w:w="2775" w:type="dxa"/>
            <w:vAlign w:val="bottom"/>
          </w:tcPr>
          <w:p w:rsidR="00E96A58" w:rsidRPr="00E96A58" w:rsidRDefault="00E96A58" w:rsidP="00E96A58">
            <w:pPr>
              <w:pStyle w:val="NoSpacing"/>
              <w:rPr>
                <w:rFonts w:ascii="Century Gothic" w:hAnsi="Century Gothic"/>
                <w:b/>
                <w:sz w:val="24"/>
              </w:rPr>
            </w:pPr>
          </w:p>
          <w:p w:rsidR="00B802E4" w:rsidRPr="00E96A58" w:rsidRDefault="00B802E4" w:rsidP="00E96A58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 w:rsidRPr="00E96A58">
              <w:rPr>
                <w:rFonts w:ascii="Century Gothic" w:hAnsi="Century Gothic"/>
                <w:b/>
                <w:sz w:val="24"/>
              </w:rPr>
              <w:t>Cohort</w:t>
            </w:r>
          </w:p>
        </w:tc>
        <w:tc>
          <w:tcPr>
            <w:tcW w:w="1583" w:type="dxa"/>
            <w:vAlign w:val="bottom"/>
          </w:tcPr>
          <w:p w:rsidR="00B802E4" w:rsidRPr="00E96A58" w:rsidRDefault="00B802E4" w:rsidP="00E96A58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E96A58">
              <w:rPr>
                <w:rFonts w:ascii="Century Gothic" w:hAnsi="Century Gothic"/>
                <w:b/>
                <w:sz w:val="24"/>
              </w:rPr>
              <w:t>2015-16</w:t>
            </w:r>
          </w:p>
        </w:tc>
        <w:tc>
          <w:tcPr>
            <w:tcW w:w="1583" w:type="dxa"/>
            <w:vAlign w:val="bottom"/>
          </w:tcPr>
          <w:p w:rsidR="00B802E4" w:rsidRPr="00E96A58" w:rsidRDefault="00B802E4" w:rsidP="00E96A58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E96A58">
              <w:rPr>
                <w:rFonts w:ascii="Century Gothic" w:hAnsi="Century Gothic"/>
                <w:b/>
                <w:sz w:val="24"/>
              </w:rPr>
              <w:t>2016-17</w:t>
            </w:r>
          </w:p>
        </w:tc>
        <w:tc>
          <w:tcPr>
            <w:tcW w:w="1583" w:type="dxa"/>
            <w:vAlign w:val="bottom"/>
          </w:tcPr>
          <w:p w:rsidR="00B802E4" w:rsidRPr="00E96A58" w:rsidRDefault="00B802E4" w:rsidP="00E96A58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E96A58">
              <w:rPr>
                <w:rFonts w:ascii="Century Gothic" w:hAnsi="Century Gothic"/>
                <w:b/>
                <w:sz w:val="24"/>
              </w:rPr>
              <w:t>2017-18</w:t>
            </w:r>
          </w:p>
        </w:tc>
        <w:tc>
          <w:tcPr>
            <w:tcW w:w="1583" w:type="dxa"/>
            <w:vAlign w:val="bottom"/>
          </w:tcPr>
          <w:p w:rsidR="00B802E4" w:rsidRPr="00E96A58" w:rsidRDefault="00B802E4" w:rsidP="00E96A58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E96A58">
              <w:rPr>
                <w:rFonts w:ascii="Century Gothic" w:hAnsi="Century Gothic"/>
                <w:b/>
                <w:sz w:val="24"/>
              </w:rPr>
              <w:t>2018-19</w:t>
            </w:r>
          </w:p>
        </w:tc>
        <w:tc>
          <w:tcPr>
            <w:tcW w:w="1583" w:type="dxa"/>
            <w:vAlign w:val="bottom"/>
          </w:tcPr>
          <w:p w:rsidR="00B802E4" w:rsidRPr="00E96A58" w:rsidRDefault="00B802E4" w:rsidP="00E96A58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E96A58">
              <w:rPr>
                <w:rFonts w:ascii="Century Gothic" w:hAnsi="Century Gothic"/>
                <w:b/>
                <w:sz w:val="24"/>
              </w:rPr>
              <w:t>2019-20</w:t>
            </w:r>
          </w:p>
        </w:tc>
      </w:tr>
      <w:tr w:rsidR="00B802E4" w:rsidTr="00A53763">
        <w:tc>
          <w:tcPr>
            <w:tcW w:w="2775" w:type="dxa"/>
            <w:vAlign w:val="bottom"/>
          </w:tcPr>
          <w:p w:rsidR="00B802E4" w:rsidRPr="00120232" w:rsidRDefault="00B802E4" w:rsidP="0029386C">
            <w:pPr>
              <w:rPr>
                <w:rFonts w:ascii="Century Gothic" w:hAnsi="Century Gothic"/>
              </w:rPr>
            </w:pPr>
            <w:r w:rsidRPr="00120232">
              <w:rPr>
                <w:rFonts w:ascii="Century Gothic" w:hAnsi="Century Gothic"/>
              </w:rPr>
              <w:t>TCTC Placement Rate</w:t>
            </w:r>
          </w:p>
        </w:tc>
        <w:tc>
          <w:tcPr>
            <w:tcW w:w="1583" w:type="dxa"/>
            <w:vAlign w:val="bottom"/>
          </w:tcPr>
          <w:p w:rsidR="00B802E4" w:rsidRPr="00120232" w:rsidRDefault="00B802E4" w:rsidP="0029386C">
            <w:pPr>
              <w:jc w:val="center"/>
              <w:rPr>
                <w:rFonts w:ascii="Century Gothic" w:hAnsi="Century Gothic"/>
              </w:rPr>
            </w:pPr>
            <w:r w:rsidRPr="00120232">
              <w:rPr>
                <w:rFonts w:ascii="Century Gothic" w:hAnsi="Century Gothic"/>
              </w:rPr>
              <w:t>83%</w:t>
            </w:r>
          </w:p>
        </w:tc>
        <w:tc>
          <w:tcPr>
            <w:tcW w:w="1583" w:type="dxa"/>
            <w:vAlign w:val="bottom"/>
          </w:tcPr>
          <w:p w:rsidR="00B802E4" w:rsidRPr="00120232" w:rsidRDefault="00B802E4" w:rsidP="0029386C">
            <w:pPr>
              <w:jc w:val="center"/>
              <w:rPr>
                <w:rFonts w:ascii="Century Gothic" w:hAnsi="Century Gothic"/>
              </w:rPr>
            </w:pPr>
            <w:r w:rsidRPr="00120232">
              <w:rPr>
                <w:rFonts w:ascii="Century Gothic" w:hAnsi="Century Gothic"/>
              </w:rPr>
              <w:t>92%</w:t>
            </w:r>
          </w:p>
        </w:tc>
        <w:tc>
          <w:tcPr>
            <w:tcW w:w="1583" w:type="dxa"/>
            <w:vAlign w:val="bottom"/>
          </w:tcPr>
          <w:p w:rsidR="00B802E4" w:rsidRPr="00120232" w:rsidRDefault="00B802E4" w:rsidP="0029386C">
            <w:pPr>
              <w:jc w:val="center"/>
              <w:rPr>
                <w:rFonts w:ascii="Century Gothic" w:hAnsi="Century Gothic"/>
              </w:rPr>
            </w:pPr>
            <w:r w:rsidRPr="00120232">
              <w:rPr>
                <w:rFonts w:ascii="Century Gothic" w:hAnsi="Century Gothic"/>
              </w:rPr>
              <w:t>94%</w:t>
            </w:r>
          </w:p>
        </w:tc>
        <w:tc>
          <w:tcPr>
            <w:tcW w:w="1583" w:type="dxa"/>
            <w:vAlign w:val="bottom"/>
          </w:tcPr>
          <w:p w:rsidR="00B802E4" w:rsidRPr="00120232" w:rsidRDefault="00B802E4" w:rsidP="0029386C">
            <w:pPr>
              <w:jc w:val="center"/>
              <w:rPr>
                <w:rFonts w:ascii="Century Gothic" w:hAnsi="Century Gothic"/>
              </w:rPr>
            </w:pPr>
            <w:r w:rsidRPr="00120232">
              <w:rPr>
                <w:rFonts w:ascii="Century Gothic" w:hAnsi="Century Gothic"/>
              </w:rPr>
              <w:t>93%</w:t>
            </w:r>
          </w:p>
        </w:tc>
        <w:tc>
          <w:tcPr>
            <w:tcW w:w="1583" w:type="dxa"/>
            <w:vAlign w:val="bottom"/>
          </w:tcPr>
          <w:p w:rsidR="00B802E4" w:rsidRPr="00120232" w:rsidRDefault="00B802E4" w:rsidP="0029386C">
            <w:pPr>
              <w:jc w:val="center"/>
              <w:rPr>
                <w:rFonts w:ascii="Century Gothic" w:hAnsi="Century Gothic"/>
              </w:rPr>
            </w:pPr>
            <w:r w:rsidRPr="00120232">
              <w:rPr>
                <w:rFonts w:ascii="Century Gothic" w:hAnsi="Century Gothic"/>
              </w:rPr>
              <w:t>93%</w:t>
            </w:r>
          </w:p>
        </w:tc>
      </w:tr>
      <w:tr w:rsidR="00B802E4" w:rsidTr="00A53763">
        <w:tc>
          <w:tcPr>
            <w:tcW w:w="2775" w:type="dxa"/>
            <w:vAlign w:val="bottom"/>
          </w:tcPr>
          <w:p w:rsidR="00B802E4" w:rsidRPr="00120232" w:rsidRDefault="00B802E4" w:rsidP="0029386C">
            <w:pPr>
              <w:rPr>
                <w:rFonts w:ascii="Century Gothic" w:hAnsi="Century Gothic"/>
              </w:rPr>
            </w:pPr>
            <w:r w:rsidRPr="00120232">
              <w:rPr>
                <w:rFonts w:ascii="Century Gothic" w:hAnsi="Century Gothic"/>
              </w:rPr>
              <w:t>Minimum Threshold</w:t>
            </w:r>
          </w:p>
        </w:tc>
        <w:tc>
          <w:tcPr>
            <w:tcW w:w="1583" w:type="dxa"/>
            <w:vAlign w:val="bottom"/>
          </w:tcPr>
          <w:p w:rsidR="00B802E4" w:rsidRPr="00120232" w:rsidRDefault="00B802E4" w:rsidP="0029386C">
            <w:pPr>
              <w:jc w:val="center"/>
              <w:rPr>
                <w:rFonts w:ascii="Century Gothic" w:hAnsi="Century Gothic"/>
              </w:rPr>
            </w:pPr>
            <w:r w:rsidRPr="00120232">
              <w:rPr>
                <w:rFonts w:ascii="Century Gothic" w:hAnsi="Century Gothic"/>
              </w:rPr>
              <w:t>80%</w:t>
            </w:r>
          </w:p>
        </w:tc>
        <w:tc>
          <w:tcPr>
            <w:tcW w:w="1583" w:type="dxa"/>
            <w:vAlign w:val="bottom"/>
          </w:tcPr>
          <w:p w:rsidR="00B802E4" w:rsidRPr="00120232" w:rsidRDefault="00B802E4" w:rsidP="0029386C">
            <w:pPr>
              <w:jc w:val="center"/>
              <w:rPr>
                <w:rFonts w:ascii="Century Gothic" w:hAnsi="Century Gothic"/>
              </w:rPr>
            </w:pPr>
            <w:r w:rsidRPr="00120232">
              <w:rPr>
                <w:rFonts w:ascii="Century Gothic" w:hAnsi="Century Gothic"/>
              </w:rPr>
              <w:t>80%</w:t>
            </w:r>
          </w:p>
        </w:tc>
        <w:tc>
          <w:tcPr>
            <w:tcW w:w="1583" w:type="dxa"/>
            <w:vAlign w:val="bottom"/>
          </w:tcPr>
          <w:p w:rsidR="00B802E4" w:rsidRPr="00120232" w:rsidRDefault="00B802E4" w:rsidP="0029386C">
            <w:pPr>
              <w:jc w:val="center"/>
              <w:rPr>
                <w:rFonts w:ascii="Century Gothic" w:hAnsi="Century Gothic"/>
              </w:rPr>
            </w:pPr>
            <w:r w:rsidRPr="00120232">
              <w:rPr>
                <w:rFonts w:ascii="Century Gothic" w:hAnsi="Century Gothic"/>
              </w:rPr>
              <w:t>80%</w:t>
            </w:r>
          </w:p>
        </w:tc>
        <w:tc>
          <w:tcPr>
            <w:tcW w:w="1583" w:type="dxa"/>
            <w:vAlign w:val="bottom"/>
          </w:tcPr>
          <w:p w:rsidR="00B802E4" w:rsidRPr="00120232" w:rsidRDefault="00B802E4" w:rsidP="0029386C">
            <w:pPr>
              <w:jc w:val="center"/>
              <w:rPr>
                <w:rFonts w:ascii="Century Gothic" w:hAnsi="Century Gothic"/>
              </w:rPr>
            </w:pPr>
            <w:r w:rsidRPr="00120232">
              <w:rPr>
                <w:rFonts w:ascii="Century Gothic" w:hAnsi="Century Gothic"/>
              </w:rPr>
              <w:t>80%</w:t>
            </w:r>
          </w:p>
        </w:tc>
        <w:tc>
          <w:tcPr>
            <w:tcW w:w="1583" w:type="dxa"/>
            <w:vAlign w:val="bottom"/>
          </w:tcPr>
          <w:p w:rsidR="00B802E4" w:rsidRPr="00120232" w:rsidRDefault="00B802E4" w:rsidP="0029386C">
            <w:pPr>
              <w:jc w:val="center"/>
              <w:rPr>
                <w:rFonts w:ascii="Century Gothic" w:hAnsi="Century Gothic"/>
              </w:rPr>
            </w:pPr>
            <w:r w:rsidRPr="00120232">
              <w:rPr>
                <w:rFonts w:ascii="Century Gothic" w:hAnsi="Century Gothic"/>
              </w:rPr>
              <w:t>80%</w:t>
            </w:r>
          </w:p>
        </w:tc>
      </w:tr>
      <w:tr w:rsidR="00B802E4" w:rsidTr="00A53763">
        <w:tc>
          <w:tcPr>
            <w:tcW w:w="2775" w:type="dxa"/>
            <w:vAlign w:val="bottom"/>
          </w:tcPr>
          <w:p w:rsidR="00B802E4" w:rsidRPr="00120232" w:rsidRDefault="00B802E4" w:rsidP="0029386C">
            <w:pPr>
              <w:rPr>
                <w:rFonts w:ascii="Century Gothic" w:hAnsi="Century Gothic"/>
              </w:rPr>
            </w:pPr>
            <w:r w:rsidRPr="00120232">
              <w:rPr>
                <w:rFonts w:ascii="Century Gothic" w:hAnsi="Century Gothic"/>
              </w:rPr>
              <w:t>System Average</w:t>
            </w:r>
          </w:p>
        </w:tc>
        <w:tc>
          <w:tcPr>
            <w:tcW w:w="1583" w:type="dxa"/>
            <w:vAlign w:val="bottom"/>
          </w:tcPr>
          <w:p w:rsidR="00B802E4" w:rsidRPr="00120232" w:rsidRDefault="00B802E4" w:rsidP="0029386C">
            <w:pPr>
              <w:jc w:val="center"/>
              <w:rPr>
                <w:rFonts w:ascii="Century Gothic" w:hAnsi="Century Gothic"/>
              </w:rPr>
            </w:pPr>
            <w:r w:rsidRPr="00120232">
              <w:rPr>
                <w:rFonts w:ascii="Century Gothic" w:hAnsi="Century Gothic"/>
              </w:rPr>
              <w:t>89%</w:t>
            </w:r>
          </w:p>
        </w:tc>
        <w:tc>
          <w:tcPr>
            <w:tcW w:w="1583" w:type="dxa"/>
            <w:vAlign w:val="bottom"/>
          </w:tcPr>
          <w:p w:rsidR="00B802E4" w:rsidRPr="00120232" w:rsidRDefault="00B802E4" w:rsidP="0029386C">
            <w:pPr>
              <w:jc w:val="center"/>
              <w:rPr>
                <w:rFonts w:ascii="Century Gothic" w:hAnsi="Century Gothic"/>
              </w:rPr>
            </w:pPr>
            <w:r w:rsidRPr="00120232">
              <w:rPr>
                <w:rFonts w:ascii="Century Gothic" w:hAnsi="Century Gothic"/>
              </w:rPr>
              <w:t>90%</w:t>
            </w:r>
          </w:p>
        </w:tc>
        <w:tc>
          <w:tcPr>
            <w:tcW w:w="1583" w:type="dxa"/>
            <w:vAlign w:val="bottom"/>
          </w:tcPr>
          <w:p w:rsidR="00B802E4" w:rsidRPr="00120232" w:rsidRDefault="00B802E4" w:rsidP="0029386C">
            <w:pPr>
              <w:jc w:val="center"/>
              <w:rPr>
                <w:rFonts w:ascii="Century Gothic" w:hAnsi="Century Gothic"/>
              </w:rPr>
            </w:pPr>
            <w:r w:rsidRPr="00120232">
              <w:rPr>
                <w:rFonts w:ascii="Century Gothic" w:hAnsi="Century Gothic"/>
              </w:rPr>
              <w:t>90%</w:t>
            </w:r>
          </w:p>
        </w:tc>
        <w:tc>
          <w:tcPr>
            <w:tcW w:w="1583" w:type="dxa"/>
            <w:vAlign w:val="bottom"/>
          </w:tcPr>
          <w:p w:rsidR="00B802E4" w:rsidRPr="00120232" w:rsidRDefault="00B802E4" w:rsidP="0029386C">
            <w:pPr>
              <w:jc w:val="center"/>
              <w:rPr>
                <w:rFonts w:ascii="Century Gothic" w:hAnsi="Century Gothic"/>
              </w:rPr>
            </w:pPr>
            <w:r w:rsidRPr="00120232">
              <w:rPr>
                <w:rFonts w:ascii="Century Gothic" w:hAnsi="Century Gothic"/>
              </w:rPr>
              <w:t>91%</w:t>
            </w:r>
          </w:p>
        </w:tc>
        <w:tc>
          <w:tcPr>
            <w:tcW w:w="1583" w:type="dxa"/>
            <w:vAlign w:val="bottom"/>
          </w:tcPr>
          <w:p w:rsidR="00B802E4" w:rsidRPr="00120232" w:rsidRDefault="00B802E4" w:rsidP="0029386C">
            <w:pPr>
              <w:jc w:val="center"/>
              <w:rPr>
                <w:rFonts w:ascii="Century Gothic" w:hAnsi="Century Gothic"/>
              </w:rPr>
            </w:pPr>
            <w:r w:rsidRPr="00120232">
              <w:rPr>
                <w:rFonts w:ascii="Century Gothic" w:hAnsi="Century Gothic"/>
              </w:rPr>
              <w:t>90%</w:t>
            </w:r>
          </w:p>
        </w:tc>
      </w:tr>
    </w:tbl>
    <w:p w:rsidR="00951F69" w:rsidRPr="002212B9" w:rsidRDefault="00951F69" w:rsidP="00EA069D">
      <w:pPr>
        <w:spacing w:before="23" w:after="0" w:line="250" w:lineRule="auto"/>
        <w:ind w:left="100" w:right="85"/>
        <w:rPr>
          <w:rFonts w:ascii="Century Gothic" w:eastAsia="Arial" w:hAnsi="Century Gothic" w:cs="Arial"/>
          <w:i/>
          <w:color w:val="231F20"/>
        </w:rPr>
      </w:pPr>
      <w:r w:rsidRPr="002212B9">
        <w:rPr>
          <w:rFonts w:ascii="Century Gothic" w:eastAsia="Arial" w:hAnsi="Century Gothic" w:cs="Arial"/>
          <w:i/>
          <w:color w:val="231F20"/>
        </w:rPr>
        <w:lastRenderedPageBreak/>
        <w:t>Data Source:</w:t>
      </w:r>
      <w:r w:rsidR="000E23EA" w:rsidRPr="002212B9">
        <w:rPr>
          <w:rFonts w:ascii="Century Gothic" w:eastAsia="Arial" w:hAnsi="Century Gothic" w:cs="Arial"/>
          <w:i/>
          <w:color w:val="231F20"/>
        </w:rPr>
        <w:t xml:space="preserve"> Graduate placement rates come from the South Carolina Technical College System (SCTCS) which calculates the rates from data provided in the Program Evaluation System (PEMS).</w:t>
      </w:r>
    </w:p>
    <w:p w:rsidR="000E23EA" w:rsidRPr="002212B9" w:rsidRDefault="000E23EA" w:rsidP="00EA069D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</w:rPr>
      </w:pPr>
    </w:p>
    <w:p w:rsidR="00B802E4" w:rsidRPr="002212B9" w:rsidRDefault="00B802E4" w:rsidP="00EA069D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</w:rPr>
      </w:pPr>
      <w:r w:rsidRPr="002212B9">
        <w:rPr>
          <w:rFonts w:ascii="Century Gothic" w:eastAsia="Arial" w:hAnsi="Century Gothic" w:cs="Arial"/>
          <w:color w:val="231F20"/>
        </w:rPr>
        <w:t>More</w:t>
      </w:r>
      <w:r w:rsidR="00B5521F" w:rsidRPr="002212B9">
        <w:rPr>
          <w:rFonts w:ascii="Century Gothic" w:eastAsia="Arial" w:hAnsi="Century Gothic" w:cs="Arial"/>
          <w:color w:val="231F20"/>
        </w:rPr>
        <w:t xml:space="preserve"> detailed data on TCTC’s graduate placement rates</w:t>
      </w:r>
      <w:r w:rsidR="000E23EA" w:rsidRPr="002212B9">
        <w:rPr>
          <w:rFonts w:ascii="Century Gothic" w:eastAsia="Arial" w:hAnsi="Century Gothic" w:cs="Arial"/>
          <w:color w:val="231F20"/>
        </w:rPr>
        <w:t>, including rates by academic program,</w:t>
      </w:r>
      <w:r w:rsidR="00B5521F" w:rsidRPr="002212B9">
        <w:rPr>
          <w:rFonts w:ascii="Century Gothic" w:eastAsia="Arial" w:hAnsi="Century Gothic" w:cs="Arial"/>
          <w:color w:val="231F20"/>
        </w:rPr>
        <w:t xml:space="preserve"> can be found on the </w:t>
      </w:r>
      <w:hyperlink r:id="rId4" w:history="1">
        <w:r w:rsidR="00B5521F" w:rsidRPr="002212B9">
          <w:rPr>
            <w:rStyle w:val="Hyperlink"/>
            <w:rFonts w:ascii="Century Gothic" w:eastAsia="Arial" w:hAnsi="Century Gothic" w:cs="Arial"/>
          </w:rPr>
          <w:t>Placement</w:t>
        </w:r>
      </w:hyperlink>
      <w:r w:rsidR="00B5521F" w:rsidRPr="002212B9">
        <w:rPr>
          <w:rFonts w:ascii="Century Gothic" w:eastAsia="Arial" w:hAnsi="Century Gothic" w:cs="Arial"/>
          <w:color w:val="231F20"/>
        </w:rPr>
        <w:t xml:space="preserve"> page on the Institutional Research website.</w:t>
      </w:r>
    </w:p>
    <w:p w:rsidR="00CD52C9" w:rsidRPr="002212B9" w:rsidRDefault="00CD52C9" w:rsidP="00EA069D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</w:rPr>
      </w:pPr>
    </w:p>
    <w:p w:rsidR="00432154" w:rsidRPr="002212B9" w:rsidRDefault="00B802E4" w:rsidP="00EA069D">
      <w:pPr>
        <w:spacing w:before="23" w:after="0" w:line="250" w:lineRule="auto"/>
        <w:ind w:left="100" w:right="85"/>
        <w:rPr>
          <w:rFonts w:ascii="Century Gothic" w:eastAsia="Arial" w:hAnsi="Century Gothic" w:cs="Arial"/>
          <w:b/>
          <w:color w:val="231F20"/>
          <w:u w:val="single"/>
        </w:rPr>
      </w:pPr>
      <w:r w:rsidRPr="002212B9">
        <w:rPr>
          <w:rFonts w:ascii="Century Gothic" w:eastAsia="Arial" w:hAnsi="Century Gothic" w:cs="Arial"/>
          <w:b/>
          <w:color w:val="231F20"/>
          <w:u w:val="single"/>
        </w:rPr>
        <w:t>Licensure Examination Pass</w:t>
      </w:r>
      <w:r w:rsidR="00AC626A" w:rsidRPr="002212B9">
        <w:rPr>
          <w:rFonts w:ascii="Century Gothic" w:eastAsia="Arial" w:hAnsi="Century Gothic" w:cs="Arial"/>
          <w:b/>
          <w:color w:val="231F20"/>
          <w:u w:val="single"/>
        </w:rPr>
        <w:t xml:space="preserve"> Rate</w:t>
      </w:r>
    </w:p>
    <w:p w:rsidR="00120232" w:rsidRPr="002212B9" w:rsidRDefault="0071425B" w:rsidP="00120232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</w:rPr>
      </w:pPr>
      <w:r w:rsidRPr="002212B9">
        <w:rPr>
          <w:rFonts w:ascii="Century Gothic" w:eastAsia="Arial" w:hAnsi="Century Gothic" w:cs="Arial"/>
          <w:color w:val="231F20"/>
        </w:rPr>
        <w:t xml:space="preserve">The licensure examination pass rate is the overall pass rate by first-time exam takers. </w:t>
      </w:r>
      <w:r w:rsidR="00AC626A" w:rsidRPr="002212B9">
        <w:rPr>
          <w:rFonts w:ascii="Century Gothic" w:eastAsia="Arial" w:hAnsi="Century Gothic" w:cs="Arial"/>
          <w:color w:val="231F20"/>
        </w:rPr>
        <w:t xml:space="preserve">For the past five years, TCTC has exceeded the minimum threshold for the </w:t>
      </w:r>
      <w:r w:rsidR="00B802E4" w:rsidRPr="002212B9">
        <w:rPr>
          <w:rFonts w:ascii="Century Gothic" w:eastAsia="Arial" w:hAnsi="Century Gothic" w:cs="Arial"/>
          <w:color w:val="231F20"/>
        </w:rPr>
        <w:t>licensure examination pass</w:t>
      </w:r>
      <w:r w:rsidR="00AC626A" w:rsidRPr="002212B9">
        <w:rPr>
          <w:rFonts w:ascii="Century Gothic" w:eastAsia="Arial" w:hAnsi="Century Gothic" w:cs="Arial"/>
          <w:color w:val="231F20"/>
        </w:rPr>
        <w:t xml:space="preserve"> rate. TCTC’s five-year </w:t>
      </w:r>
      <w:r w:rsidR="00B802E4" w:rsidRPr="002212B9">
        <w:rPr>
          <w:rFonts w:ascii="Century Gothic" w:eastAsia="Arial" w:hAnsi="Century Gothic" w:cs="Arial"/>
          <w:color w:val="231F20"/>
        </w:rPr>
        <w:t>pass</w:t>
      </w:r>
      <w:r w:rsidR="00AC626A" w:rsidRPr="002212B9">
        <w:rPr>
          <w:rFonts w:ascii="Century Gothic" w:eastAsia="Arial" w:hAnsi="Century Gothic" w:cs="Arial"/>
          <w:color w:val="231F20"/>
        </w:rPr>
        <w:t xml:space="preserve"> rate is </w:t>
      </w:r>
      <w:r w:rsidR="00B802E4" w:rsidRPr="002212B9">
        <w:rPr>
          <w:rFonts w:ascii="Century Gothic" w:eastAsia="Arial" w:hAnsi="Century Gothic" w:cs="Arial"/>
          <w:color w:val="231F20"/>
        </w:rPr>
        <w:t>88</w:t>
      </w:r>
      <w:r w:rsidR="00AC626A" w:rsidRPr="002212B9">
        <w:rPr>
          <w:rFonts w:ascii="Century Gothic" w:eastAsia="Arial" w:hAnsi="Century Gothic" w:cs="Arial"/>
          <w:color w:val="231F20"/>
        </w:rPr>
        <w:t xml:space="preserve">%, and its current </w:t>
      </w:r>
      <w:r w:rsidR="00B802E4" w:rsidRPr="002212B9">
        <w:rPr>
          <w:rFonts w:ascii="Century Gothic" w:eastAsia="Arial" w:hAnsi="Century Gothic" w:cs="Arial"/>
          <w:color w:val="231F20"/>
        </w:rPr>
        <w:t>pass</w:t>
      </w:r>
      <w:r w:rsidR="00AC626A" w:rsidRPr="002212B9">
        <w:rPr>
          <w:rFonts w:ascii="Century Gothic" w:eastAsia="Arial" w:hAnsi="Century Gothic" w:cs="Arial"/>
          <w:color w:val="231F20"/>
        </w:rPr>
        <w:t xml:space="preserve"> rate is </w:t>
      </w:r>
      <w:r w:rsidR="00B802E4" w:rsidRPr="002212B9">
        <w:rPr>
          <w:rFonts w:ascii="Century Gothic" w:eastAsia="Arial" w:hAnsi="Century Gothic" w:cs="Arial"/>
          <w:color w:val="231F20"/>
        </w:rPr>
        <w:t>87</w:t>
      </w:r>
      <w:r w:rsidR="00AC626A" w:rsidRPr="002212B9">
        <w:rPr>
          <w:rFonts w:ascii="Century Gothic" w:eastAsia="Arial" w:hAnsi="Century Gothic" w:cs="Arial"/>
          <w:color w:val="231F20"/>
        </w:rPr>
        <w:t>%.</w:t>
      </w:r>
      <w:r w:rsidR="00120232" w:rsidRPr="002212B9">
        <w:rPr>
          <w:rFonts w:ascii="Century Gothic" w:eastAsia="Arial" w:hAnsi="Century Gothic" w:cs="Arial"/>
          <w:color w:val="231F20"/>
        </w:rPr>
        <w:t xml:space="preserve"> </w:t>
      </w:r>
    </w:p>
    <w:p w:rsidR="00B802E4" w:rsidRPr="002212B9" w:rsidRDefault="00B802E4" w:rsidP="00120232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2775"/>
        <w:gridCol w:w="1583"/>
        <w:gridCol w:w="1583"/>
        <w:gridCol w:w="1583"/>
        <w:gridCol w:w="1583"/>
        <w:gridCol w:w="1583"/>
      </w:tblGrid>
      <w:tr w:rsidR="00B802E4" w:rsidTr="00E96A58">
        <w:tc>
          <w:tcPr>
            <w:tcW w:w="2775" w:type="dxa"/>
          </w:tcPr>
          <w:p w:rsidR="00E96A58" w:rsidRPr="00E96A58" w:rsidRDefault="00E96A58" w:rsidP="00E96A58">
            <w:pPr>
              <w:pStyle w:val="NoSpacing"/>
              <w:rPr>
                <w:rFonts w:ascii="Century Gothic" w:hAnsi="Century Gothic"/>
                <w:b/>
                <w:sz w:val="24"/>
              </w:rPr>
            </w:pPr>
          </w:p>
          <w:p w:rsidR="00B802E4" w:rsidRPr="00E96A58" w:rsidRDefault="00B802E4" w:rsidP="00E96A58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 w:rsidRPr="00E96A58">
              <w:rPr>
                <w:rFonts w:ascii="Century Gothic" w:hAnsi="Century Gothic"/>
                <w:b/>
                <w:sz w:val="24"/>
              </w:rPr>
              <w:t>Year</w:t>
            </w:r>
          </w:p>
        </w:tc>
        <w:tc>
          <w:tcPr>
            <w:tcW w:w="1583" w:type="dxa"/>
            <w:vAlign w:val="bottom"/>
          </w:tcPr>
          <w:p w:rsidR="00B802E4" w:rsidRPr="00E96A58" w:rsidRDefault="00B802E4" w:rsidP="00E96A58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E96A58">
              <w:rPr>
                <w:rFonts w:ascii="Century Gothic" w:hAnsi="Century Gothic"/>
                <w:b/>
                <w:sz w:val="24"/>
              </w:rPr>
              <w:t>2016-17</w:t>
            </w:r>
          </w:p>
        </w:tc>
        <w:tc>
          <w:tcPr>
            <w:tcW w:w="1583" w:type="dxa"/>
            <w:vAlign w:val="bottom"/>
          </w:tcPr>
          <w:p w:rsidR="00B802E4" w:rsidRPr="00E96A58" w:rsidRDefault="00B802E4" w:rsidP="00E96A58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E96A58">
              <w:rPr>
                <w:rFonts w:ascii="Century Gothic" w:hAnsi="Century Gothic"/>
                <w:b/>
                <w:sz w:val="24"/>
              </w:rPr>
              <w:t>2017-18</w:t>
            </w:r>
          </w:p>
        </w:tc>
        <w:tc>
          <w:tcPr>
            <w:tcW w:w="1583" w:type="dxa"/>
            <w:vAlign w:val="bottom"/>
          </w:tcPr>
          <w:p w:rsidR="00B802E4" w:rsidRPr="00E96A58" w:rsidRDefault="00B802E4" w:rsidP="00E96A58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E96A58">
              <w:rPr>
                <w:rFonts w:ascii="Century Gothic" w:hAnsi="Century Gothic"/>
                <w:b/>
                <w:sz w:val="24"/>
              </w:rPr>
              <w:t>2018-19</w:t>
            </w:r>
          </w:p>
        </w:tc>
        <w:tc>
          <w:tcPr>
            <w:tcW w:w="1583" w:type="dxa"/>
            <w:vAlign w:val="bottom"/>
          </w:tcPr>
          <w:p w:rsidR="00B802E4" w:rsidRPr="00E96A58" w:rsidRDefault="00B802E4" w:rsidP="00E96A58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E96A58">
              <w:rPr>
                <w:rFonts w:ascii="Century Gothic" w:hAnsi="Century Gothic"/>
                <w:b/>
                <w:sz w:val="24"/>
              </w:rPr>
              <w:t>2019-20</w:t>
            </w:r>
          </w:p>
        </w:tc>
        <w:tc>
          <w:tcPr>
            <w:tcW w:w="1583" w:type="dxa"/>
            <w:vAlign w:val="bottom"/>
          </w:tcPr>
          <w:p w:rsidR="00B802E4" w:rsidRPr="00E96A58" w:rsidRDefault="00B802E4" w:rsidP="00E96A58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E96A58">
              <w:rPr>
                <w:rFonts w:ascii="Century Gothic" w:hAnsi="Century Gothic"/>
                <w:b/>
                <w:sz w:val="24"/>
              </w:rPr>
              <w:t>2020-21</w:t>
            </w:r>
          </w:p>
        </w:tc>
      </w:tr>
      <w:tr w:rsidR="00B802E4" w:rsidTr="00120232">
        <w:tc>
          <w:tcPr>
            <w:tcW w:w="2775" w:type="dxa"/>
          </w:tcPr>
          <w:p w:rsidR="00B802E4" w:rsidRPr="00B802E4" w:rsidRDefault="00B802E4" w:rsidP="00B802E4">
            <w:pPr>
              <w:rPr>
                <w:rFonts w:ascii="Century Gothic" w:hAnsi="Century Gothic"/>
              </w:rPr>
            </w:pPr>
            <w:r w:rsidRPr="00B802E4">
              <w:rPr>
                <w:rFonts w:ascii="Century Gothic" w:hAnsi="Century Gothic"/>
              </w:rPr>
              <w:t>TCTC Pass Rate</w:t>
            </w:r>
          </w:p>
        </w:tc>
        <w:tc>
          <w:tcPr>
            <w:tcW w:w="1583" w:type="dxa"/>
          </w:tcPr>
          <w:p w:rsidR="00B802E4" w:rsidRPr="00B802E4" w:rsidRDefault="00B802E4" w:rsidP="00B802E4">
            <w:pPr>
              <w:jc w:val="center"/>
              <w:rPr>
                <w:rFonts w:ascii="Century Gothic" w:hAnsi="Century Gothic"/>
              </w:rPr>
            </w:pPr>
            <w:r w:rsidRPr="00B802E4">
              <w:rPr>
                <w:rFonts w:ascii="Century Gothic" w:hAnsi="Century Gothic"/>
              </w:rPr>
              <w:t>95%</w:t>
            </w:r>
          </w:p>
        </w:tc>
        <w:tc>
          <w:tcPr>
            <w:tcW w:w="1583" w:type="dxa"/>
          </w:tcPr>
          <w:p w:rsidR="00B802E4" w:rsidRPr="00B802E4" w:rsidRDefault="00B802E4" w:rsidP="00B802E4">
            <w:pPr>
              <w:jc w:val="center"/>
              <w:rPr>
                <w:rFonts w:ascii="Century Gothic" w:hAnsi="Century Gothic"/>
              </w:rPr>
            </w:pPr>
            <w:r w:rsidRPr="00B802E4">
              <w:rPr>
                <w:rFonts w:ascii="Century Gothic" w:hAnsi="Century Gothic"/>
              </w:rPr>
              <w:t>84%</w:t>
            </w:r>
          </w:p>
        </w:tc>
        <w:tc>
          <w:tcPr>
            <w:tcW w:w="1583" w:type="dxa"/>
          </w:tcPr>
          <w:p w:rsidR="00B802E4" w:rsidRPr="00B802E4" w:rsidRDefault="00B802E4" w:rsidP="00B802E4">
            <w:pPr>
              <w:jc w:val="center"/>
              <w:rPr>
                <w:rFonts w:ascii="Century Gothic" w:hAnsi="Century Gothic"/>
              </w:rPr>
            </w:pPr>
            <w:r w:rsidRPr="00B802E4">
              <w:rPr>
                <w:rFonts w:ascii="Century Gothic" w:hAnsi="Century Gothic"/>
              </w:rPr>
              <w:t>89%</w:t>
            </w:r>
          </w:p>
        </w:tc>
        <w:tc>
          <w:tcPr>
            <w:tcW w:w="1583" w:type="dxa"/>
          </w:tcPr>
          <w:p w:rsidR="00B802E4" w:rsidRPr="00B802E4" w:rsidRDefault="00B802E4" w:rsidP="00B802E4">
            <w:pPr>
              <w:jc w:val="center"/>
              <w:rPr>
                <w:rFonts w:ascii="Century Gothic" w:hAnsi="Century Gothic"/>
              </w:rPr>
            </w:pPr>
            <w:r w:rsidRPr="00B802E4">
              <w:rPr>
                <w:rFonts w:ascii="Century Gothic" w:hAnsi="Century Gothic"/>
              </w:rPr>
              <w:t>86%</w:t>
            </w:r>
          </w:p>
        </w:tc>
        <w:tc>
          <w:tcPr>
            <w:tcW w:w="1583" w:type="dxa"/>
          </w:tcPr>
          <w:p w:rsidR="00B802E4" w:rsidRPr="00B802E4" w:rsidRDefault="00B802E4" w:rsidP="00B802E4">
            <w:pPr>
              <w:jc w:val="center"/>
              <w:rPr>
                <w:rFonts w:ascii="Century Gothic" w:hAnsi="Century Gothic"/>
              </w:rPr>
            </w:pPr>
            <w:r w:rsidRPr="00B802E4">
              <w:rPr>
                <w:rFonts w:ascii="Century Gothic" w:hAnsi="Century Gothic"/>
              </w:rPr>
              <w:t>87%</w:t>
            </w:r>
          </w:p>
        </w:tc>
      </w:tr>
      <w:tr w:rsidR="00B802E4" w:rsidTr="00120232">
        <w:tc>
          <w:tcPr>
            <w:tcW w:w="2775" w:type="dxa"/>
          </w:tcPr>
          <w:p w:rsidR="00B802E4" w:rsidRPr="00B802E4" w:rsidRDefault="00B802E4" w:rsidP="00B802E4">
            <w:pPr>
              <w:rPr>
                <w:rFonts w:ascii="Century Gothic" w:hAnsi="Century Gothic"/>
              </w:rPr>
            </w:pPr>
            <w:r w:rsidRPr="00B802E4">
              <w:rPr>
                <w:rFonts w:ascii="Century Gothic" w:hAnsi="Century Gothic"/>
              </w:rPr>
              <w:t>Minimum Threshold</w:t>
            </w:r>
          </w:p>
        </w:tc>
        <w:tc>
          <w:tcPr>
            <w:tcW w:w="1583" w:type="dxa"/>
          </w:tcPr>
          <w:p w:rsidR="00B802E4" w:rsidRPr="00B802E4" w:rsidRDefault="00B802E4" w:rsidP="00B802E4">
            <w:pPr>
              <w:jc w:val="center"/>
              <w:rPr>
                <w:rFonts w:ascii="Century Gothic" w:hAnsi="Century Gothic"/>
              </w:rPr>
            </w:pPr>
            <w:r w:rsidRPr="00B802E4">
              <w:rPr>
                <w:rFonts w:ascii="Century Gothic" w:hAnsi="Century Gothic"/>
              </w:rPr>
              <w:t>80%</w:t>
            </w:r>
          </w:p>
        </w:tc>
        <w:tc>
          <w:tcPr>
            <w:tcW w:w="1583" w:type="dxa"/>
          </w:tcPr>
          <w:p w:rsidR="00B802E4" w:rsidRPr="00B802E4" w:rsidRDefault="00B802E4" w:rsidP="00B802E4">
            <w:pPr>
              <w:jc w:val="center"/>
              <w:rPr>
                <w:rFonts w:ascii="Century Gothic" w:hAnsi="Century Gothic"/>
              </w:rPr>
            </w:pPr>
            <w:r w:rsidRPr="00B802E4">
              <w:rPr>
                <w:rFonts w:ascii="Century Gothic" w:hAnsi="Century Gothic"/>
              </w:rPr>
              <w:t>80%</w:t>
            </w:r>
          </w:p>
        </w:tc>
        <w:tc>
          <w:tcPr>
            <w:tcW w:w="1583" w:type="dxa"/>
          </w:tcPr>
          <w:p w:rsidR="00B802E4" w:rsidRPr="00B802E4" w:rsidRDefault="00B802E4" w:rsidP="00B802E4">
            <w:pPr>
              <w:jc w:val="center"/>
              <w:rPr>
                <w:rFonts w:ascii="Century Gothic" w:hAnsi="Century Gothic"/>
              </w:rPr>
            </w:pPr>
            <w:r w:rsidRPr="00B802E4">
              <w:rPr>
                <w:rFonts w:ascii="Century Gothic" w:hAnsi="Century Gothic"/>
              </w:rPr>
              <w:t>80%</w:t>
            </w:r>
          </w:p>
        </w:tc>
        <w:tc>
          <w:tcPr>
            <w:tcW w:w="1583" w:type="dxa"/>
          </w:tcPr>
          <w:p w:rsidR="00B802E4" w:rsidRPr="00B802E4" w:rsidRDefault="00B802E4" w:rsidP="00B802E4">
            <w:pPr>
              <w:jc w:val="center"/>
              <w:rPr>
                <w:rFonts w:ascii="Century Gothic" w:hAnsi="Century Gothic"/>
              </w:rPr>
            </w:pPr>
            <w:r w:rsidRPr="00B802E4">
              <w:rPr>
                <w:rFonts w:ascii="Century Gothic" w:hAnsi="Century Gothic"/>
              </w:rPr>
              <w:t>80%</w:t>
            </w:r>
          </w:p>
        </w:tc>
        <w:tc>
          <w:tcPr>
            <w:tcW w:w="1583" w:type="dxa"/>
          </w:tcPr>
          <w:p w:rsidR="00B802E4" w:rsidRPr="00B802E4" w:rsidRDefault="00B802E4" w:rsidP="00B802E4">
            <w:pPr>
              <w:jc w:val="center"/>
              <w:rPr>
                <w:rFonts w:ascii="Century Gothic" w:hAnsi="Century Gothic"/>
              </w:rPr>
            </w:pPr>
            <w:r w:rsidRPr="00B802E4">
              <w:rPr>
                <w:rFonts w:ascii="Century Gothic" w:hAnsi="Century Gothic"/>
              </w:rPr>
              <w:t>80%</w:t>
            </w:r>
          </w:p>
        </w:tc>
      </w:tr>
      <w:tr w:rsidR="00B802E4" w:rsidTr="00120232">
        <w:tc>
          <w:tcPr>
            <w:tcW w:w="2775" w:type="dxa"/>
          </w:tcPr>
          <w:p w:rsidR="00B802E4" w:rsidRPr="00B802E4" w:rsidRDefault="00B802E4" w:rsidP="00B802E4">
            <w:pPr>
              <w:rPr>
                <w:rFonts w:ascii="Century Gothic" w:hAnsi="Century Gothic"/>
              </w:rPr>
            </w:pPr>
            <w:r w:rsidRPr="00B802E4">
              <w:rPr>
                <w:rFonts w:ascii="Century Gothic" w:hAnsi="Century Gothic"/>
              </w:rPr>
              <w:t>System Average</w:t>
            </w:r>
          </w:p>
        </w:tc>
        <w:tc>
          <w:tcPr>
            <w:tcW w:w="1583" w:type="dxa"/>
          </w:tcPr>
          <w:p w:rsidR="00B802E4" w:rsidRPr="00B802E4" w:rsidRDefault="00B802E4" w:rsidP="00B802E4">
            <w:pPr>
              <w:jc w:val="center"/>
              <w:rPr>
                <w:rFonts w:ascii="Century Gothic" w:hAnsi="Century Gothic"/>
              </w:rPr>
            </w:pPr>
            <w:r w:rsidRPr="00B802E4">
              <w:rPr>
                <w:rFonts w:ascii="Century Gothic" w:hAnsi="Century Gothic"/>
              </w:rPr>
              <w:t>91%</w:t>
            </w:r>
          </w:p>
        </w:tc>
        <w:tc>
          <w:tcPr>
            <w:tcW w:w="1583" w:type="dxa"/>
          </w:tcPr>
          <w:p w:rsidR="00B802E4" w:rsidRPr="00B802E4" w:rsidRDefault="00B802E4" w:rsidP="00B802E4">
            <w:pPr>
              <w:jc w:val="center"/>
              <w:rPr>
                <w:rFonts w:ascii="Century Gothic" w:hAnsi="Century Gothic"/>
              </w:rPr>
            </w:pPr>
            <w:r w:rsidRPr="00B802E4">
              <w:rPr>
                <w:rFonts w:ascii="Century Gothic" w:hAnsi="Century Gothic"/>
              </w:rPr>
              <w:t>89%</w:t>
            </w:r>
          </w:p>
        </w:tc>
        <w:tc>
          <w:tcPr>
            <w:tcW w:w="1583" w:type="dxa"/>
          </w:tcPr>
          <w:p w:rsidR="00B802E4" w:rsidRPr="00B802E4" w:rsidRDefault="00B802E4" w:rsidP="00B802E4">
            <w:pPr>
              <w:jc w:val="center"/>
              <w:rPr>
                <w:rFonts w:ascii="Century Gothic" w:hAnsi="Century Gothic"/>
              </w:rPr>
            </w:pPr>
            <w:r w:rsidRPr="00B802E4">
              <w:rPr>
                <w:rFonts w:ascii="Century Gothic" w:hAnsi="Century Gothic"/>
              </w:rPr>
              <w:t>88%</w:t>
            </w:r>
          </w:p>
        </w:tc>
        <w:tc>
          <w:tcPr>
            <w:tcW w:w="1583" w:type="dxa"/>
          </w:tcPr>
          <w:p w:rsidR="00B802E4" w:rsidRPr="00B802E4" w:rsidRDefault="00B802E4" w:rsidP="00B802E4">
            <w:pPr>
              <w:jc w:val="center"/>
              <w:rPr>
                <w:rFonts w:ascii="Century Gothic" w:hAnsi="Century Gothic"/>
              </w:rPr>
            </w:pPr>
            <w:r w:rsidRPr="00B802E4">
              <w:rPr>
                <w:rFonts w:ascii="Century Gothic" w:hAnsi="Century Gothic"/>
              </w:rPr>
              <w:t>87%</w:t>
            </w:r>
          </w:p>
        </w:tc>
        <w:tc>
          <w:tcPr>
            <w:tcW w:w="1583" w:type="dxa"/>
          </w:tcPr>
          <w:p w:rsidR="00B802E4" w:rsidRPr="00B802E4" w:rsidRDefault="00B802E4" w:rsidP="00B802E4">
            <w:pPr>
              <w:jc w:val="center"/>
              <w:rPr>
                <w:rFonts w:ascii="Century Gothic" w:hAnsi="Century Gothic"/>
              </w:rPr>
            </w:pPr>
            <w:r w:rsidRPr="00B802E4">
              <w:rPr>
                <w:rFonts w:ascii="Century Gothic" w:hAnsi="Century Gothic"/>
              </w:rPr>
              <w:t>87%</w:t>
            </w:r>
          </w:p>
        </w:tc>
      </w:tr>
    </w:tbl>
    <w:p w:rsidR="00120232" w:rsidRPr="002212B9" w:rsidRDefault="00120232" w:rsidP="00120232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</w:rPr>
      </w:pPr>
    </w:p>
    <w:p w:rsidR="00951F69" w:rsidRPr="002212B9" w:rsidRDefault="00951F69" w:rsidP="00A53763">
      <w:pPr>
        <w:spacing w:before="23" w:after="0" w:line="250" w:lineRule="auto"/>
        <w:ind w:left="100" w:right="85"/>
        <w:rPr>
          <w:rFonts w:eastAsia="Arial" w:cs="Arial"/>
          <w:i/>
          <w:color w:val="231F20"/>
        </w:rPr>
      </w:pPr>
      <w:r w:rsidRPr="002212B9">
        <w:rPr>
          <w:rFonts w:ascii="Century Gothic" w:eastAsia="Arial" w:hAnsi="Century Gothic" w:cs="Arial"/>
          <w:i/>
          <w:color w:val="231F20"/>
        </w:rPr>
        <w:t>Data Source:</w:t>
      </w:r>
      <w:r w:rsidR="00A53763" w:rsidRPr="002212B9">
        <w:rPr>
          <w:rFonts w:ascii="Century Gothic" w:eastAsia="Arial" w:hAnsi="Century Gothic" w:cs="Arial"/>
          <w:i/>
          <w:color w:val="231F20"/>
        </w:rPr>
        <w:t xml:space="preserve"> Licensure examination pass rates come from the South Carolina Technical College System (SCTCS) which calculates the rates from data provided in the CHE Licensure Exam report.</w:t>
      </w:r>
    </w:p>
    <w:p w:rsidR="00502DD7" w:rsidRPr="002212B9" w:rsidRDefault="00502DD7" w:rsidP="00120232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</w:rPr>
      </w:pPr>
    </w:p>
    <w:p w:rsidR="00B802E4" w:rsidRPr="002212B9" w:rsidRDefault="00EA473D" w:rsidP="00120232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</w:rPr>
      </w:pPr>
      <w:r w:rsidRPr="002212B9">
        <w:rPr>
          <w:rFonts w:ascii="Century Gothic" w:eastAsia="Arial" w:hAnsi="Century Gothic" w:cs="Arial"/>
          <w:color w:val="231F20"/>
        </w:rPr>
        <w:t xml:space="preserve">Licensure exam pass rates for the specific programs and their associated examinations can be found on the </w:t>
      </w:r>
      <w:hyperlink r:id="rId5" w:history="1">
        <w:r w:rsidRPr="002212B9">
          <w:rPr>
            <w:rStyle w:val="Hyperlink"/>
            <w:rFonts w:ascii="Century Gothic" w:eastAsia="Arial" w:hAnsi="Century Gothic" w:cs="Arial"/>
          </w:rPr>
          <w:t>Licensure Examination Pass Rate</w:t>
        </w:r>
      </w:hyperlink>
      <w:r w:rsidRPr="002212B9">
        <w:rPr>
          <w:rFonts w:ascii="Century Gothic" w:eastAsia="Arial" w:hAnsi="Century Gothic" w:cs="Arial"/>
          <w:color w:val="231F20"/>
        </w:rPr>
        <w:t xml:space="preserve"> page on the Institutional Research website.</w:t>
      </w:r>
    </w:p>
    <w:p w:rsidR="00EA473D" w:rsidRPr="002212B9" w:rsidRDefault="00EA473D" w:rsidP="00120232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</w:rPr>
      </w:pPr>
    </w:p>
    <w:p w:rsidR="00EA473D" w:rsidRPr="002212B9" w:rsidRDefault="00EA473D" w:rsidP="00EA473D">
      <w:pPr>
        <w:spacing w:before="23" w:after="0" w:line="250" w:lineRule="auto"/>
        <w:ind w:left="100" w:right="85"/>
        <w:rPr>
          <w:rFonts w:ascii="Century Gothic" w:eastAsia="Arial" w:hAnsi="Century Gothic" w:cs="Arial"/>
          <w:b/>
          <w:color w:val="231F20"/>
          <w:u w:val="single"/>
        </w:rPr>
      </w:pPr>
      <w:r w:rsidRPr="002212B9">
        <w:rPr>
          <w:rFonts w:ascii="Century Gothic" w:eastAsia="Arial" w:hAnsi="Century Gothic" w:cs="Arial"/>
          <w:b/>
          <w:color w:val="231F20"/>
          <w:u w:val="single"/>
        </w:rPr>
        <w:t>Fall to Spring Persistence Rate</w:t>
      </w:r>
    </w:p>
    <w:p w:rsidR="00EA473D" w:rsidRPr="002212B9" w:rsidRDefault="00EA473D" w:rsidP="00EA473D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</w:rPr>
      </w:pPr>
      <w:r w:rsidRPr="002212B9">
        <w:rPr>
          <w:rFonts w:ascii="Century Gothic" w:eastAsia="Arial" w:hAnsi="Century Gothic" w:cs="Arial"/>
          <w:color w:val="231F20"/>
        </w:rPr>
        <w:t xml:space="preserve">The fall to spring persistence rate is the percentage of </w:t>
      </w:r>
      <w:r w:rsidR="00951F69" w:rsidRPr="002212B9">
        <w:rPr>
          <w:rFonts w:ascii="Century Gothic" w:eastAsia="Arial" w:hAnsi="Century Gothic" w:cs="Arial"/>
          <w:color w:val="231F20"/>
        </w:rPr>
        <w:t>students enrolled in the fall semester who remained enrolled the following spring semester.</w:t>
      </w:r>
      <w:r w:rsidRPr="002212B9">
        <w:rPr>
          <w:rFonts w:ascii="Century Gothic" w:eastAsia="Arial" w:hAnsi="Century Gothic" w:cs="Arial"/>
          <w:color w:val="231F20"/>
        </w:rPr>
        <w:t xml:space="preserve"> </w:t>
      </w:r>
      <w:r w:rsidR="00CD16C5" w:rsidRPr="002212B9">
        <w:rPr>
          <w:rFonts w:ascii="Century Gothic" w:eastAsia="Arial" w:hAnsi="Century Gothic" w:cs="Arial"/>
          <w:color w:val="231F20"/>
        </w:rPr>
        <w:t xml:space="preserve">SCTCS adopted the National Community College Benchmark Project (NCCBP) definition of persistence </w:t>
      </w:r>
      <w:r w:rsidR="006F3FA4" w:rsidRPr="002212B9">
        <w:rPr>
          <w:rFonts w:ascii="Century Gothic" w:eastAsia="Arial" w:hAnsi="Century Gothic" w:cs="Arial"/>
          <w:color w:val="231F20"/>
        </w:rPr>
        <w:t>which</w:t>
      </w:r>
      <w:r w:rsidR="00951F69" w:rsidRPr="002212B9">
        <w:rPr>
          <w:rFonts w:ascii="Century Gothic" w:eastAsia="Arial" w:hAnsi="Century Gothic" w:cs="Arial"/>
          <w:color w:val="231F20"/>
        </w:rPr>
        <w:t xml:space="preserve"> excludes high school students</w:t>
      </w:r>
      <w:r w:rsidR="00CD16C5" w:rsidRPr="002212B9">
        <w:rPr>
          <w:rFonts w:ascii="Century Gothic" w:eastAsia="Arial" w:hAnsi="Century Gothic" w:cs="Arial"/>
          <w:color w:val="231F20"/>
        </w:rPr>
        <w:t xml:space="preserve"> and adjust</w:t>
      </w:r>
      <w:r w:rsidR="006F3FA4" w:rsidRPr="002212B9">
        <w:rPr>
          <w:rFonts w:ascii="Century Gothic" w:eastAsia="Arial" w:hAnsi="Century Gothic" w:cs="Arial"/>
          <w:color w:val="231F20"/>
        </w:rPr>
        <w:t>s</w:t>
      </w:r>
      <w:r w:rsidR="00CD16C5" w:rsidRPr="002212B9">
        <w:rPr>
          <w:rFonts w:ascii="Century Gothic" w:eastAsia="Arial" w:hAnsi="Century Gothic" w:cs="Arial"/>
          <w:color w:val="231F20"/>
        </w:rPr>
        <w:t xml:space="preserve"> the initial fall cohort to remove students who graduate</w:t>
      </w:r>
      <w:r w:rsidR="006F3FA4" w:rsidRPr="002212B9">
        <w:rPr>
          <w:rFonts w:ascii="Century Gothic" w:eastAsia="Arial" w:hAnsi="Century Gothic" w:cs="Arial"/>
          <w:color w:val="231F20"/>
        </w:rPr>
        <w:t>d</w:t>
      </w:r>
      <w:r w:rsidR="00CD16C5" w:rsidRPr="002212B9">
        <w:rPr>
          <w:rFonts w:ascii="Century Gothic" w:eastAsia="Arial" w:hAnsi="Century Gothic" w:cs="Arial"/>
          <w:color w:val="231F20"/>
        </w:rPr>
        <w:t xml:space="preserve"> at the end of the fall semester.</w:t>
      </w:r>
      <w:r w:rsidR="00951F69" w:rsidRPr="002212B9">
        <w:rPr>
          <w:rFonts w:ascii="Century Gothic" w:eastAsia="Arial" w:hAnsi="Century Gothic" w:cs="Arial"/>
          <w:color w:val="231F20"/>
        </w:rPr>
        <w:t xml:space="preserve"> </w:t>
      </w:r>
      <w:r w:rsidRPr="002212B9">
        <w:rPr>
          <w:rFonts w:ascii="Century Gothic" w:eastAsia="Arial" w:hAnsi="Century Gothic" w:cs="Arial"/>
          <w:color w:val="231F20"/>
        </w:rPr>
        <w:t xml:space="preserve">TCTC </w:t>
      </w:r>
      <w:r w:rsidR="00951F69" w:rsidRPr="002212B9">
        <w:rPr>
          <w:rFonts w:ascii="Century Gothic" w:eastAsia="Arial" w:hAnsi="Century Gothic" w:cs="Arial"/>
          <w:color w:val="231F20"/>
        </w:rPr>
        <w:t>consistently</w:t>
      </w:r>
      <w:r w:rsidRPr="002212B9">
        <w:rPr>
          <w:rFonts w:ascii="Century Gothic" w:eastAsia="Arial" w:hAnsi="Century Gothic" w:cs="Arial"/>
          <w:color w:val="231F20"/>
        </w:rPr>
        <w:t xml:space="preserve"> exceed</w:t>
      </w:r>
      <w:r w:rsidR="00951F69" w:rsidRPr="002212B9">
        <w:rPr>
          <w:rFonts w:ascii="Century Gothic" w:eastAsia="Arial" w:hAnsi="Century Gothic" w:cs="Arial"/>
          <w:color w:val="231F20"/>
        </w:rPr>
        <w:t xml:space="preserve">s both </w:t>
      </w:r>
      <w:r w:rsidRPr="002212B9">
        <w:rPr>
          <w:rFonts w:ascii="Century Gothic" w:eastAsia="Arial" w:hAnsi="Century Gothic" w:cs="Arial"/>
          <w:color w:val="231F20"/>
        </w:rPr>
        <w:t xml:space="preserve">the minimum threshold for the </w:t>
      </w:r>
      <w:r w:rsidR="00951F69" w:rsidRPr="002212B9">
        <w:rPr>
          <w:rFonts w:ascii="Century Gothic" w:eastAsia="Arial" w:hAnsi="Century Gothic" w:cs="Arial"/>
          <w:color w:val="231F20"/>
        </w:rPr>
        <w:t>fall to spring persistence</w:t>
      </w:r>
      <w:r w:rsidRPr="002212B9">
        <w:rPr>
          <w:rFonts w:ascii="Century Gothic" w:eastAsia="Arial" w:hAnsi="Century Gothic" w:cs="Arial"/>
          <w:color w:val="231F20"/>
        </w:rPr>
        <w:t xml:space="preserve"> rate</w:t>
      </w:r>
      <w:r w:rsidR="00951F69" w:rsidRPr="002212B9">
        <w:rPr>
          <w:rFonts w:ascii="Century Gothic" w:eastAsia="Arial" w:hAnsi="Century Gothic" w:cs="Arial"/>
          <w:color w:val="231F20"/>
        </w:rPr>
        <w:t xml:space="preserve"> and the System average</w:t>
      </w:r>
      <w:r w:rsidRPr="002212B9">
        <w:rPr>
          <w:rFonts w:ascii="Century Gothic" w:eastAsia="Arial" w:hAnsi="Century Gothic" w:cs="Arial"/>
          <w:color w:val="231F20"/>
        </w:rPr>
        <w:t xml:space="preserve">. TCTC’s five-year average </w:t>
      </w:r>
      <w:r w:rsidR="00951F69" w:rsidRPr="002212B9">
        <w:rPr>
          <w:rFonts w:ascii="Century Gothic" w:eastAsia="Arial" w:hAnsi="Century Gothic" w:cs="Arial"/>
          <w:color w:val="231F20"/>
        </w:rPr>
        <w:t>persistence</w:t>
      </w:r>
      <w:r w:rsidRPr="002212B9">
        <w:rPr>
          <w:rFonts w:ascii="Century Gothic" w:eastAsia="Arial" w:hAnsi="Century Gothic" w:cs="Arial"/>
          <w:color w:val="231F20"/>
        </w:rPr>
        <w:t xml:space="preserve"> rate is </w:t>
      </w:r>
      <w:r w:rsidR="00951F69" w:rsidRPr="002212B9">
        <w:rPr>
          <w:rFonts w:ascii="Century Gothic" w:eastAsia="Arial" w:hAnsi="Century Gothic" w:cs="Arial"/>
          <w:color w:val="231F20"/>
        </w:rPr>
        <w:t>78</w:t>
      </w:r>
      <w:r w:rsidRPr="002212B9">
        <w:rPr>
          <w:rFonts w:ascii="Century Gothic" w:eastAsia="Arial" w:hAnsi="Century Gothic" w:cs="Arial"/>
          <w:color w:val="231F20"/>
        </w:rPr>
        <w:t xml:space="preserve">%, and its current </w:t>
      </w:r>
      <w:r w:rsidR="00951F69" w:rsidRPr="002212B9">
        <w:rPr>
          <w:rFonts w:ascii="Century Gothic" w:eastAsia="Arial" w:hAnsi="Century Gothic" w:cs="Arial"/>
          <w:color w:val="231F20"/>
        </w:rPr>
        <w:t>persistence</w:t>
      </w:r>
      <w:r w:rsidRPr="002212B9">
        <w:rPr>
          <w:rFonts w:ascii="Century Gothic" w:eastAsia="Arial" w:hAnsi="Century Gothic" w:cs="Arial"/>
          <w:color w:val="231F20"/>
        </w:rPr>
        <w:t xml:space="preserve"> rate is </w:t>
      </w:r>
      <w:r w:rsidR="00951F69" w:rsidRPr="002212B9">
        <w:rPr>
          <w:rFonts w:ascii="Century Gothic" w:eastAsia="Arial" w:hAnsi="Century Gothic" w:cs="Arial"/>
          <w:color w:val="231F20"/>
        </w:rPr>
        <w:t>80</w:t>
      </w:r>
      <w:r w:rsidRPr="002212B9">
        <w:rPr>
          <w:rFonts w:ascii="Century Gothic" w:eastAsia="Arial" w:hAnsi="Century Gothic" w:cs="Arial"/>
          <w:color w:val="231F20"/>
        </w:rPr>
        <w:t xml:space="preserve">%. </w:t>
      </w:r>
    </w:p>
    <w:p w:rsidR="00951F69" w:rsidRPr="002212B9" w:rsidRDefault="00951F69" w:rsidP="00EA473D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2775"/>
        <w:gridCol w:w="1583"/>
        <w:gridCol w:w="1583"/>
        <w:gridCol w:w="1583"/>
        <w:gridCol w:w="1583"/>
        <w:gridCol w:w="1583"/>
      </w:tblGrid>
      <w:tr w:rsidR="00951F69" w:rsidTr="00E96A58">
        <w:tc>
          <w:tcPr>
            <w:tcW w:w="2775" w:type="dxa"/>
          </w:tcPr>
          <w:p w:rsidR="00E96A58" w:rsidRDefault="00E96A58" w:rsidP="00E96A58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951F69" w:rsidRPr="00E96A58" w:rsidRDefault="00951F69" w:rsidP="00E96A58">
            <w:pPr>
              <w:pStyle w:val="NoSpacing"/>
              <w:rPr>
                <w:rFonts w:ascii="Century Gothic" w:hAnsi="Century Gothic"/>
                <w:b/>
                <w:sz w:val="24"/>
                <w:szCs w:val="24"/>
              </w:rPr>
            </w:pPr>
            <w:r w:rsidRPr="00E96A58">
              <w:rPr>
                <w:rFonts w:ascii="Century Gothic" w:hAnsi="Century Gothic"/>
                <w:b/>
                <w:sz w:val="24"/>
                <w:szCs w:val="24"/>
              </w:rPr>
              <w:t>Year</w:t>
            </w:r>
          </w:p>
        </w:tc>
        <w:tc>
          <w:tcPr>
            <w:tcW w:w="1583" w:type="dxa"/>
            <w:vAlign w:val="bottom"/>
          </w:tcPr>
          <w:p w:rsidR="00951F69" w:rsidRPr="00E96A58" w:rsidRDefault="00951F69" w:rsidP="00E96A58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96A58">
              <w:rPr>
                <w:rFonts w:ascii="Century Gothic" w:hAnsi="Century Gothic"/>
                <w:b/>
                <w:sz w:val="24"/>
                <w:szCs w:val="24"/>
              </w:rPr>
              <w:t>2016-17</w:t>
            </w:r>
          </w:p>
        </w:tc>
        <w:tc>
          <w:tcPr>
            <w:tcW w:w="1583" w:type="dxa"/>
            <w:vAlign w:val="bottom"/>
          </w:tcPr>
          <w:p w:rsidR="00951F69" w:rsidRPr="00E96A58" w:rsidRDefault="00951F69" w:rsidP="00E96A58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96A58">
              <w:rPr>
                <w:rFonts w:ascii="Century Gothic" w:hAnsi="Century Gothic"/>
                <w:b/>
                <w:sz w:val="24"/>
                <w:szCs w:val="24"/>
              </w:rPr>
              <w:t>2017-18</w:t>
            </w:r>
          </w:p>
        </w:tc>
        <w:tc>
          <w:tcPr>
            <w:tcW w:w="1583" w:type="dxa"/>
            <w:vAlign w:val="bottom"/>
          </w:tcPr>
          <w:p w:rsidR="00951F69" w:rsidRPr="00E96A58" w:rsidRDefault="00951F69" w:rsidP="00E96A58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96A58">
              <w:rPr>
                <w:rFonts w:ascii="Century Gothic" w:hAnsi="Century Gothic"/>
                <w:b/>
                <w:sz w:val="24"/>
                <w:szCs w:val="24"/>
              </w:rPr>
              <w:t>2018-19</w:t>
            </w:r>
          </w:p>
        </w:tc>
        <w:tc>
          <w:tcPr>
            <w:tcW w:w="1583" w:type="dxa"/>
            <w:vAlign w:val="bottom"/>
          </w:tcPr>
          <w:p w:rsidR="00951F69" w:rsidRPr="00E96A58" w:rsidRDefault="00951F69" w:rsidP="00E96A58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96A58">
              <w:rPr>
                <w:rFonts w:ascii="Century Gothic" w:hAnsi="Century Gothic"/>
                <w:b/>
                <w:sz w:val="24"/>
                <w:szCs w:val="24"/>
              </w:rPr>
              <w:t>2019-20</w:t>
            </w:r>
          </w:p>
        </w:tc>
        <w:tc>
          <w:tcPr>
            <w:tcW w:w="1583" w:type="dxa"/>
            <w:vAlign w:val="bottom"/>
          </w:tcPr>
          <w:p w:rsidR="00951F69" w:rsidRPr="00E96A58" w:rsidRDefault="00951F69" w:rsidP="00E96A58">
            <w:pPr>
              <w:pStyle w:val="NoSpacing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E96A58">
              <w:rPr>
                <w:rFonts w:ascii="Century Gothic" w:hAnsi="Century Gothic"/>
                <w:b/>
                <w:sz w:val="24"/>
                <w:szCs w:val="24"/>
              </w:rPr>
              <w:t>2020-21</w:t>
            </w:r>
          </w:p>
        </w:tc>
      </w:tr>
      <w:tr w:rsidR="00951F69" w:rsidTr="0029386C">
        <w:tc>
          <w:tcPr>
            <w:tcW w:w="2775" w:type="dxa"/>
          </w:tcPr>
          <w:p w:rsidR="00951F69" w:rsidRPr="00951F69" w:rsidRDefault="00951F69" w:rsidP="00951F69">
            <w:pPr>
              <w:rPr>
                <w:rFonts w:ascii="Century Gothic" w:hAnsi="Century Gothic"/>
              </w:rPr>
            </w:pPr>
            <w:r w:rsidRPr="00951F69">
              <w:rPr>
                <w:rFonts w:ascii="Century Gothic" w:hAnsi="Century Gothic"/>
              </w:rPr>
              <w:t>TCTC Persistence Rate</w:t>
            </w:r>
          </w:p>
        </w:tc>
        <w:tc>
          <w:tcPr>
            <w:tcW w:w="1583" w:type="dxa"/>
          </w:tcPr>
          <w:p w:rsidR="00951F69" w:rsidRPr="00951F69" w:rsidRDefault="00951F69" w:rsidP="00951F69">
            <w:pPr>
              <w:jc w:val="center"/>
              <w:rPr>
                <w:rFonts w:ascii="Century Gothic" w:hAnsi="Century Gothic"/>
              </w:rPr>
            </w:pPr>
            <w:r w:rsidRPr="00951F69">
              <w:rPr>
                <w:rFonts w:ascii="Century Gothic" w:hAnsi="Century Gothic"/>
              </w:rPr>
              <w:t>78%</w:t>
            </w:r>
          </w:p>
        </w:tc>
        <w:tc>
          <w:tcPr>
            <w:tcW w:w="1583" w:type="dxa"/>
          </w:tcPr>
          <w:p w:rsidR="00951F69" w:rsidRPr="00951F69" w:rsidRDefault="00951F69" w:rsidP="00951F69">
            <w:pPr>
              <w:jc w:val="center"/>
              <w:rPr>
                <w:rFonts w:ascii="Century Gothic" w:hAnsi="Century Gothic"/>
              </w:rPr>
            </w:pPr>
            <w:r w:rsidRPr="00951F69">
              <w:rPr>
                <w:rFonts w:ascii="Century Gothic" w:hAnsi="Century Gothic"/>
              </w:rPr>
              <w:t>78%</w:t>
            </w:r>
          </w:p>
        </w:tc>
        <w:tc>
          <w:tcPr>
            <w:tcW w:w="1583" w:type="dxa"/>
          </w:tcPr>
          <w:p w:rsidR="00951F69" w:rsidRPr="00951F69" w:rsidRDefault="00951F69" w:rsidP="00951F69">
            <w:pPr>
              <w:jc w:val="center"/>
              <w:rPr>
                <w:rFonts w:ascii="Century Gothic" w:hAnsi="Century Gothic"/>
              </w:rPr>
            </w:pPr>
            <w:r w:rsidRPr="00951F69">
              <w:rPr>
                <w:rFonts w:ascii="Century Gothic" w:hAnsi="Century Gothic"/>
              </w:rPr>
              <w:t>77%</w:t>
            </w:r>
          </w:p>
        </w:tc>
        <w:tc>
          <w:tcPr>
            <w:tcW w:w="1583" w:type="dxa"/>
          </w:tcPr>
          <w:p w:rsidR="00951F69" w:rsidRPr="00951F69" w:rsidRDefault="00951F69" w:rsidP="00951F69">
            <w:pPr>
              <w:jc w:val="center"/>
              <w:rPr>
                <w:rFonts w:ascii="Century Gothic" w:hAnsi="Century Gothic"/>
              </w:rPr>
            </w:pPr>
            <w:r w:rsidRPr="00951F69">
              <w:rPr>
                <w:rFonts w:ascii="Century Gothic" w:hAnsi="Century Gothic"/>
              </w:rPr>
              <w:t>79%</w:t>
            </w:r>
          </w:p>
        </w:tc>
        <w:tc>
          <w:tcPr>
            <w:tcW w:w="1583" w:type="dxa"/>
          </w:tcPr>
          <w:p w:rsidR="00951F69" w:rsidRPr="00951F69" w:rsidRDefault="00951F69" w:rsidP="00951F69">
            <w:pPr>
              <w:jc w:val="center"/>
              <w:rPr>
                <w:rFonts w:ascii="Century Gothic" w:hAnsi="Century Gothic"/>
              </w:rPr>
            </w:pPr>
            <w:r w:rsidRPr="00951F69">
              <w:rPr>
                <w:rFonts w:ascii="Century Gothic" w:hAnsi="Century Gothic"/>
              </w:rPr>
              <w:t>80%</w:t>
            </w:r>
          </w:p>
        </w:tc>
      </w:tr>
      <w:tr w:rsidR="00951F69" w:rsidTr="0029386C">
        <w:tc>
          <w:tcPr>
            <w:tcW w:w="2775" w:type="dxa"/>
          </w:tcPr>
          <w:p w:rsidR="00951F69" w:rsidRPr="00951F69" w:rsidRDefault="00951F69" w:rsidP="00951F69">
            <w:pPr>
              <w:rPr>
                <w:rFonts w:ascii="Century Gothic" w:hAnsi="Century Gothic"/>
              </w:rPr>
            </w:pPr>
            <w:r w:rsidRPr="00951F69">
              <w:rPr>
                <w:rFonts w:ascii="Century Gothic" w:hAnsi="Century Gothic"/>
              </w:rPr>
              <w:t>Minimum Threshold</w:t>
            </w:r>
          </w:p>
        </w:tc>
        <w:tc>
          <w:tcPr>
            <w:tcW w:w="1583" w:type="dxa"/>
          </w:tcPr>
          <w:p w:rsidR="00951F69" w:rsidRPr="00951F69" w:rsidRDefault="00951F69" w:rsidP="00951F69">
            <w:pPr>
              <w:jc w:val="center"/>
              <w:rPr>
                <w:rFonts w:ascii="Century Gothic" w:hAnsi="Century Gothic"/>
              </w:rPr>
            </w:pPr>
            <w:r w:rsidRPr="00951F69">
              <w:rPr>
                <w:rFonts w:ascii="Century Gothic" w:hAnsi="Century Gothic"/>
              </w:rPr>
              <w:t>71%</w:t>
            </w:r>
          </w:p>
        </w:tc>
        <w:tc>
          <w:tcPr>
            <w:tcW w:w="1583" w:type="dxa"/>
          </w:tcPr>
          <w:p w:rsidR="00951F69" w:rsidRPr="00951F69" w:rsidRDefault="00951F69" w:rsidP="00951F69">
            <w:pPr>
              <w:jc w:val="center"/>
              <w:rPr>
                <w:rFonts w:ascii="Century Gothic" w:hAnsi="Century Gothic"/>
              </w:rPr>
            </w:pPr>
            <w:r w:rsidRPr="00951F69">
              <w:rPr>
                <w:rFonts w:ascii="Century Gothic" w:hAnsi="Century Gothic"/>
              </w:rPr>
              <w:t>71%</w:t>
            </w:r>
          </w:p>
        </w:tc>
        <w:tc>
          <w:tcPr>
            <w:tcW w:w="1583" w:type="dxa"/>
          </w:tcPr>
          <w:p w:rsidR="00951F69" w:rsidRPr="00951F69" w:rsidRDefault="00951F69" w:rsidP="00951F69">
            <w:pPr>
              <w:jc w:val="center"/>
              <w:rPr>
                <w:rFonts w:ascii="Century Gothic" w:hAnsi="Century Gothic"/>
              </w:rPr>
            </w:pPr>
            <w:r w:rsidRPr="00951F69">
              <w:rPr>
                <w:rFonts w:ascii="Century Gothic" w:hAnsi="Century Gothic"/>
              </w:rPr>
              <w:t>71%</w:t>
            </w:r>
          </w:p>
        </w:tc>
        <w:tc>
          <w:tcPr>
            <w:tcW w:w="1583" w:type="dxa"/>
          </w:tcPr>
          <w:p w:rsidR="00951F69" w:rsidRPr="00951F69" w:rsidRDefault="00951F69" w:rsidP="00951F69">
            <w:pPr>
              <w:jc w:val="center"/>
              <w:rPr>
                <w:rFonts w:ascii="Century Gothic" w:hAnsi="Century Gothic"/>
              </w:rPr>
            </w:pPr>
            <w:r w:rsidRPr="00951F69">
              <w:rPr>
                <w:rFonts w:ascii="Century Gothic" w:hAnsi="Century Gothic"/>
              </w:rPr>
              <w:t>71%</w:t>
            </w:r>
          </w:p>
        </w:tc>
        <w:tc>
          <w:tcPr>
            <w:tcW w:w="1583" w:type="dxa"/>
          </w:tcPr>
          <w:p w:rsidR="00951F69" w:rsidRPr="00951F69" w:rsidRDefault="00951F69" w:rsidP="00951F69">
            <w:pPr>
              <w:jc w:val="center"/>
              <w:rPr>
                <w:rFonts w:ascii="Century Gothic" w:hAnsi="Century Gothic"/>
              </w:rPr>
            </w:pPr>
            <w:r w:rsidRPr="00951F69">
              <w:rPr>
                <w:rFonts w:ascii="Century Gothic" w:hAnsi="Century Gothic"/>
              </w:rPr>
              <w:t>71%</w:t>
            </w:r>
          </w:p>
        </w:tc>
      </w:tr>
      <w:tr w:rsidR="00951F69" w:rsidTr="0029386C">
        <w:tc>
          <w:tcPr>
            <w:tcW w:w="2775" w:type="dxa"/>
          </w:tcPr>
          <w:p w:rsidR="00951F69" w:rsidRPr="00951F69" w:rsidRDefault="00951F69" w:rsidP="00951F69">
            <w:pPr>
              <w:rPr>
                <w:rFonts w:ascii="Century Gothic" w:hAnsi="Century Gothic"/>
              </w:rPr>
            </w:pPr>
            <w:r w:rsidRPr="00951F69">
              <w:rPr>
                <w:rFonts w:ascii="Century Gothic" w:hAnsi="Century Gothic"/>
              </w:rPr>
              <w:t>System Average</w:t>
            </w:r>
          </w:p>
        </w:tc>
        <w:tc>
          <w:tcPr>
            <w:tcW w:w="1583" w:type="dxa"/>
          </w:tcPr>
          <w:p w:rsidR="00951F69" w:rsidRPr="00951F69" w:rsidRDefault="00951F69" w:rsidP="00951F69">
            <w:pPr>
              <w:jc w:val="center"/>
              <w:rPr>
                <w:rFonts w:ascii="Century Gothic" w:hAnsi="Century Gothic"/>
              </w:rPr>
            </w:pPr>
            <w:r w:rsidRPr="00951F69">
              <w:rPr>
                <w:rFonts w:ascii="Century Gothic" w:hAnsi="Century Gothic"/>
              </w:rPr>
              <w:t>73%</w:t>
            </w:r>
          </w:p>
        </w:tc>
        <w:tc>
          <w:tcPr>
            <w:tcW w:w="1583" w:type="dxa"/>
          </w:tcPr>
          <w:p w:rsidR="00951F69" w:rsidRPr="00951F69" w:rsidRDefault="00951F69" w:rsidP="00951F69">
            <w:pPr>
              <w:jc w:val="center"/>
              <w:rPr>
                <w:rFonts w:ascii="Century Gothic" w:hAnsi="Century Gothic"/>
              </w:rPr>
            </w:pPr>
            <w:r w:rsidRPr="00951F69">
              <w:rPr>
                <w:rFonts w:ascii="Century Gothic" w:hAnsi="Century Gothic"/>
              </w:rPr>
              <w:t>72%</w:t>
            </w:r>
          </w:p>
        </w:tc>
        <w:tc>
          <w:tcPr>
            <w:tcW w:w="1583" w:type="dxa"/>
          </w:tcPr>
          <w:p w:rsidR="00951F69" w:rsidRPr="00951F69" w:rsidRDefault="00951F69" w:rsidP="00951F69">
            <w:pPr>
              <w:jc w:val="center"/>
              <w:rPr>
                <w:rFonts w:ascii="Century Gothic" w:hAnsi="Century Gothic"/>
              </w:rPr>
            </w:pPr>
            <w:r w:rsidRPr="00951F69">
              <w:rPr>
                <w:rFonts w:ascii="Century Gothic" w:hAnsi="Century Gothic"/>
              </w:rPr>
              <w:t>72%</w:t>
            </w:r>
          </w:p>
        </w:tc>
        <w:tc>
          <w:tcPr>
            <w:tcW w:w="1583" w:type="dxa"/>
          </w:tcPr>
          <w:p w:rsidR="00951F69" w:rsidRPr="00951F69" w:rsidRDefault="00951F69" w:rsidP="00951F69">
            <w:pPr>
              <w:jc w:val="center"/>
              <w:rPr>
                <w:rFonts w:ascii="Century Gothic" w:hAnsi="Century Gothic"/>
              </w:rPr>
            </w:pPr>
            <w:r w:rsidRPr="00951F69">
              <w:rPr>
                <w:rFonts w:ascii="Century Gothic" w:hAnsi="Century Gothic"/>
              </w:rPr>
              <w:t>74%</w:t>
            </w:r>
          </w:p>
        </w:tc>
        <w:tc>
          <w:tcPr>
            <w:tcW w:w="1583" w:type="dxa"/>
          </w:tcPr>
          <w:p w:rsidR="00951F69" w:rsidRPr="00951F69" w:rsidRDefault="00951F69" w:rsidP="00951F69">
            <w:pPr>
              <w:jc w:val="center"/>
              <w:rPr>
                <w:rFonts w:ascii="Century Gothic" w:hAnsi="Century Gothic"/>
              </w:rPr>
            </w:pPr>
            <w:r w:rsidRPr="00951F69">
              <w:rPr>
                <w:rFonts w:ascii="Century Gothic" w:hAnsi="Century Gothic"/>
              </w:rPr>
              <w:t>72%</w:t>
            </w:r>
          </w:p>
        </w:tc>
      </w:tr>
    </w:tbl>
    <w:p w:rsidR="00502DD7" w:rsidRPr="002212B9" w:rsidRDefault="00502DD7" w:rsidP="00EA473D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</w:rPr>
      </w:pPr>
    </w:p>
    <w:p w:rsidR="00951F69" w:rsidRPr="002212B9" w:rsidRDefault="00951F69" w:rsidP="00EA473D">
      <w:pPr>
        <w:spacing w:before="23" w:after="0" w:line="250" w:lineRule="auto"/>
        <w:ind w:left="100" w:right="85"/>
        <w:rPr>
          <w:rFonts w:ascii="Century Gothic" w:eastAsia="Arial" w:hAnsi="Century Gothic" w:cs="Arial"/>
          <w:i/>
          <w:color w:val="231F20"/>
        </w:rPr>
      </w:pPr>
      <w:r w:rsidRPr="002212B9">
        <w:rPr>
          <w:rFonts w:ascii="Century Gothic" w:eastAsia="Arial" w:hAnsi="Century Gothic" w:cs="Arial"/>
          <w:i/>
          <w:color w:val="231F20"/>
        </w:rPr>
        <w:t>Data Source:</w:t>
      </w:r>
      <w:r w:rsidR="003C2315" w:rsidRPr="002212B9">
        <w:rPr>
          <w:rFonts w:ascii="Century Gothic" w:eastAsia="Arial" w:hAnsi="Century Gothic" w:cs="Arial"/>
          <w:i/>
          <w:color w:val="231F20"/>
        </w:rPr>
        <w:t xml:space="preserve"> Fall data is from the CERS </w:t>
      </w:r>
      <w:r w:rsidR="00502DD7" w:rsidRPr="002212B9">
        <w:rPr>
          <w:rFonts w:ascii="Century Gothic" w:eastAsia="Arial" w:hAnsi="Century Gothic" w:cs="Arial"/>
          <w:i/>
          <w:color w:val="231F20"/>
        </w:rPr>
        <w:t>closing extract, spring data is from the CERS opening extract, and graduate data is from the CERS graduate extract. High school (dual enrollment students) are excluded from the calculation.</w:t>
      </w:r>
    </w:p>
    <w:p w:rsidR="00502DD7" w:rsidRPr="002212B9" w:rsidRDefault="00502DD7" w:rsidP="00EA473D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</w:rPr>
      </w:pPr>
    </w:p>
    <w:p w:rsidR="00EA473D" w:rsidRPr="002212B9" w:rsidRDefault="00EA473D" w:rsidP="00EA473D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</w:rPr>
      </w:pPr>
      <w:r w:rsidRPr="002212B9">
        <w:rPr>
          <w:rFonts w:ascii="Century Gothic" w:eastAsia="Arial" w:hAnsi="Century Gothic" w:cs="Arial"/>
          <w:color w:val="231F20"/>
        </w:rPr>
        <w:t xml:space="preserve">More detailed data on TCTC’s </w:t>
      </w:r>
      <w:r w:rsidR="00951F69" w:rsidRPr="002212B9">
        <w:rPr>
          <w:rFonts w:ascii="Century Gothic" w:eastAsia="Arial" w:hAnsi="Century Gothic" w:cs="Arial"/>
          <w:color w:val="231F20"/>
        </w:rPr>
        <w:t>retention and persistence</w:t>
      </w:r>
      <w:r w:rsidRPr="002212B9">
        <w:rPr>
          <w:rFonts w:ascii="Century Gothic" w:eastAsia="Arial" w:hAnsi="Century Gothic" w:cs="Arial"/>
          <w:color w:val="231F20"/>
        </w:rPr>
        <w:t xml:space="preserve"> rates can be found on the </w:t>
      </w:r>
      <w:hyperlink r:id="rId6" w:history="1">
        <w:r w:rsidR="00951F69" w:rsidRPr="002212B9">
          <w:rPr>
            <w:rStyle w:val="Hyperlink"/>
            <w:rFonts w:ascii="Century Gothic" w:eastAsia="Arial" w:hAnsi="Century Gothic" w:cs="Arial"/>
          </w:rPr>
          <w:t>Retention and Persistence</w:t>
        </w:r>
      </w:hyperlink>
      <w:r w:rsidRPr="002212B9">
        <w:rPr>
          <w:rFonts w:ascii="Century Gothic" w:eastAsia="Arial" w:hAnsi="Century Gothic" w:cs="Arial"/>
          <w:color w:val="231F20"/>
        </w:rPr>
        <w:t xml:space="preserve"> page on the Institutional Research website.</w:t>
      </w:r>
    </w:p>
    <w:p w:rsidR="00A53763" w:rsidRPr="002212B9" w:rsidRDefault="00A53763" w:rsidP="00A53763">
      <w:pPr>
        <w:spacing w:before="23" w:after="0" w:line="250" w:lineRule="auto"/>
        <w:ind w:left="100" w:right="85"/>
        <w:rPr>
          <w:rFonts w:ascii="Century Gothic" w:eastAsia="Arial" w:hAnsi="Century Gothic" w:cs="Arial"/>
          <w:b/>
          <w:color w:val="231F20"/>
          <w:u w:val="single"/>
        </w:rPr>
      </w:pPr>
      <w:r w:rsidRPr="002212B9">
        <w:rPr>
          <w:rFonts w:ascii="Century Gothic" w:eastAsia="Arial" w:hAnsi="Century Gothic" w:cs="Arial"/>
          <w:b/>
          <w:color w:val="231F20"/>
          <w:u w:val="single"/>
        </w:rPr>
        <w:lastRenderedPageBreak/>
        <w:t>Graduate Production Rate</w:t>
      </w:r>
    </w:p>
    <w:p w:rsidR="00A53763" w:rsidRPr="002212B9" w:rsidRDefault="00A53763" w:rsidP="00A53763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</w:rPr>
      </w:pPr>
      <w:r w:rsidRPr="002212B9">
        <w:rPr>
          <w:rFonts w:ascii="Century Gothic" w:eastAsia="Arial" w:hAnsi="Century Gothic" w:cs="Arial"/>
          <w:color w:val="231F20"/>
        </w:rPr>
        <w:t>The graduate p</w:t>
      </w:r>
      <w:r w:rsidR="0002585F" w:rsidRPr="002212B9">
        <w:rPr>
          <w:rFonts w:ascii="Century Gothic" w:eastAsia="Arial" w:hAnsi="Century Gothic" w:cs="Arial"/>
          <w:color w:val="231F20"/>
        </w:rPr>
        <w:t>roduction</w:t>
      </w:r>
      <w:r w:rsidRPr="002212B9">
        <w:rPr>
          <w:rFonts w:ascii="Century Gothic" w:eastAsia="Arial" w:hAnsi="Century Gothic" w:cs="Arial"/>
          <w:color w:val="231F20"/>
        </w:rPr>
        <w:t xml:space="preserve"> rate is </w:t>
      </w:r>
      <w:r w:rsidR="0002585F" w:rsidRPr="002212B9">
        <w:rPr>
          <w:rFonts w:ascii="Century Gothic" w:eastAsia="Arial" w:hAnsi="Century Gothic" w:cs="Arial"/>
          <w:color w:val="231F20"/>
        </w:rPr>
        <w:t>calculated by dividing the total number of unduplicated graduates during an academic year by the fall full-time equivalent (FTE).</w:t>
      </w:r>
      <w:r w:rsidRPr="002212B9">
        <w:rPr>
          <w:rFonts w:ascii="Century Gothic" w:eastAsia="Arial" w:hAnsi="Century Gothic" w:cs="Arial"/>
          <w:color w:val="231F20"/>
        </w:rPr>
        <w:t xml:space="preserve"> TCTC has exceeded </w:t>
      </w:r>
      <w:r w:rsidR="007D5051" w:rsidRPr="002212B9">
        <w:rPr>
          <w:rFonts w:ascii="Century Gothic" w:eastAsia="Arial" w:hAnsi="Century Gothic" w:cs="Arial"/>
          <w:color w:val="231F20"/>
        </w:rPr>
        <w:t xml:space="preserve">both </w:t>
      </w:r>
      <w:r w:rsidRPr="002212B9">
        <w:rPr>
          <w:rFonts w:ascii="Century Gothic" w:eastAsia="Arial" w:hAnsi="Century Gothic" w:cs="Arial"/>
          <w:color w:val="231F20"/>
        </w:rPr>
        <w:t xml:space="preserve">the minimum threshold for the graduate </w:t>
      </w:r>
      <w:r w:rsidR="0002585F" w:rsidRPr="002212B9">
        <w:rPr>
          <w:rFonts w:ascii="Century Gothic" w:eastAsia="Arial" w:hAnsi="Century Gothic" w:cs="Arial"/>
          <w:color w:val="231F20"/>
        </w:rPr>
        <w:t>production</w:t>
      </w:r>
      <w:r w:rsidRPr="002212B9">
        <w:rPr>
          <w:rFonts w:ascii="Century Gothic" w:eastAsia="Arial" w:hAnsi="Century Gothic" w:cs="Arial"/>
          <w:color w:val="231F20"/>
        </w:rPr>
        <w:t xml:space="preserve"> rate</w:t>
      </w:r>
      <w:r w:rsidR="007D5051" w:rsidRPr="002212B9">
        <w:rPr>
          <w:rFonts w:ascii="Century Gothic" w:eastAsia="Arial" w:hAnsi="Century Gothic" w:cs="Arial"/>
          <w:color w:val="231F20"/>
        </w:rPr>
        <w:t xml:space="preserve"> and the System average over the last five years</w:t>
      </w:r>
      <w:r w:rsidRPr="002212B9">
        <w:rPr>
          <w:rFonts w:ascii="Century Gothic" w:eastAsia="Arial" w:hAnsi="Century Gothic" w:cs="Arial"/>
          <w:color w:val="231F20"/>
        </w:rPr>
        <w:t xml:space="preserve">. TCTC’s five-year average </w:t>
      </w:r>
      <w:r w:rsidR="007D5051" w:rsidRPr="002212B9">
        <w:rPr>
          <w:rFonts w:ascii="Century Gothic" w:eastAsia="Arial" w:hAnsi="Century Gothic" w:cs="Arial"/>
          <w:color w:val="231F20"/>
        </w:rPr>
        <w:t>graduate production</w:t>
      </w:r>
      <w:r w:rsidRPr="002212B9">
        <w:rPr>
          <w:rFonts w:ascii="Century Gothic" w:eastAsia="Arial" w:hAnsi="Century Gothic" w:cs="Arial"/>
          <w:color w:val="231F20"/>
        </w:rPr>
        <w:t xml:space="preserve"> rate is</w:t>
      </w:r>
      <w:r w:rsidR="007D5051" w:rsidRPr="002212B9">
        <w:rPr>
          <w:rFonts w:ascii="Century Gothic" w:eastAsia="Arial" w:hAnsi="Century Gothic" w:cs="Arial"/>
          <w:color w:val="231F20"/>
        </w:rPr>
        <w:t xml:space="preserve"> 41</w:t>
      </w:r>
      <w:r w:rsidRPr="002212B9">
        <w:rPr>
          <w:rFonts w:ascii="Century Gothic" w:eastAsia="Arial" w:hAnsi="Century Gothic" w:cs="Arial"/>
          <w:color w:val="231F20"/>
        </w:rPr>
        <w:t xml:space="preserve">%, and its current </w:t>
      </w:r>
      <w:r w:rsidR="00E51F51" w:rsidRPr="002212B9">
        <w:rPr>
          <w:rFonts w:ascii="Century Gothic" w:eastAsia="Arial" w:hAnsi="Century Gothic" w:cs="Arial"/>
          <w:color w:val="231F20"/>
        </w:rPr>
        <w:t>graduation production</w:t>
      </w:r>
      <w:r w:rsidRPr="002212B9">
        <w:rPr>
          <w:rFonts w:ascii="Century Gothic" w:eastAsia="Arial" w:hAnsi="Century Gothic" w:cs="Arial"/>
          <w:color w:val="231F20"/>
        </w:rPr>
        <w:t xml:space="preserve"> rate is </w:t>
      </w:r>
      <w:r w:rsidR="007D5051" w:rsidRPr="002212B9">
        <w:rPr>
          <w:rFonts w:ascii="Century Gothic" w:eastAsia="Arial" w:hAnsi="Century Gothic" w:cs="Arial"/>
          <w:color w:val="231F20"/>
        </w:rPr>
        <w:t>48</w:t>
      </w:r>
      <w:r w:rsidRPr="002212B9">
        <w:rPr>
          <w:rFonts w:ascii="Century Gothic" w:eastAsia="Arial" w:hAnsi="Century Gothic" w:cs="Arial"/>
          <w:color w:val="231F20"/>
        </w:rPr>
        <w:t>%.</w:t>
      </w:r>
    </w:p>
    <w:p w:rsidR="00A53763" w:rsidRPr="002212B9" w:rsidRDefault="00A53763" w:rsidP="00A53763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3686"/>
        <w:gridCol w:w="1400"/>
        <w:gridCol w:w="1401"/>
        <w:gridCol w:w="1401"/>
        <w:gridCol w:w="1401"/>
        <w:gridCol w:w="1401"/>
      </w:tblGrid>
      <w:tr w:rsidR="007D5051" w:rsidTr="00E96A58">
        <w:tc>
          <w:tcPr>
            <w:tcW w:w="3686" w:type="dxa"/>
            <w:vAlign w:val="bottom"/>
          </w:tcPr>
          <w:p w:rsidR="00E96A58" w:rsidRDefault="00E96A58" w:rsidP="00E96A58">
            <w:pPr>
              <w:pStyle w:val="NoSpacing"/>
              <w:rPr>
                <w:rFonts w:ascii="Century Gothic" w:hAnsi="Century Gothic"/>
                <w:b/>
                <w:sz w:val="24"/>
              </w:rPr>
            </w:pPr>
          </w:p>
          <w:p w:rsidR="007D5051" w:rsidRPr="00E96A58" w:rsidRDefault="007D5051" w:rsidP="00E96A58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 w:rsidRPr="00E96A58">
              <w:rPr>
                <w:rFonts w:ascii="Century Gothic" w:hAnsi="Century Gothic"/>
                <w:b/>
                <w:sz w:val="24"/>
              </w:rPr>
              <w:t>Year</w:t>
            </w:r>
          </w:p>
        </w:tc>
        <w:tc>
          <w:tcPr>
            <w:tcW w:w="1400" w:type="dxa"/>
            <w:vAlign w:val="bottom"/>
          </w:tcPr>
          <w:p w:rsidR="007D5051" w:rsidRPr="00E96A58" w:rsidRDefault="007D5051" w:rsidP="00E96A58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E96A58">
              <w:rPr>
                <w:rFonts w:ascii="Century Gothic" w:hAnsi="Century Gothic"/>
                <w:b/>
                <w:sz w:val="24"/>
              </w:rPr>
              <w:t>2016-17</w:t>
            </w:r>
          </w:p>
        </w:tc>
        <w:tc>
          <w:tcPr>
            <w:tcW w:w="1401" w:type="dxa"/>
            <w:vAlign w:val="bottom"/>
          </w:tcPr>
          <w:p w:rsidR="007D5051" w:rsidRPr="00E96A58" w:rsidRDefault="007D5051" w:rsidP="00E96A58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E96A58">
              <w:rPr>
                <w:rFonts w:ascii="Century Gothic" w:hAnsi="Century Gothic"/>
                <w:b/>
                <w:sz w:val="24"/>
              </w:rPr>
              <w:t>2017-18</w:t>
            </w:r>
          </w:p>
        </w:tc>
        <w:tc>
          <w:tcPr>
            <w:tcW w:w="1401" w:type="dxa"/>
            <w:vAlign w:val="bottom"/>
          </w:tcPr>
          <w:p w:rsidR="007D5051" w:rsidRPr="00E96A58" w:rsidRDefault="007D5051" w:rsidP="00E96A58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E96A58">
              <w:rPr>
                <w:rFonts w:ascii="Century Gothic" w:hAnsi="Century Gothic"/>
                <w:b/>
                <w:sz w:val="24"/>
              </w:rPr>
              <w:t>2018-19</w:t>
            </w:r>
          </w:p>
        </w:tc>
        <w:tc>
          <w:tcPr>
            <w:tcW w:w="1401" w:type="dxa"/>
            <w:vAlign w:val="bottom"/>
          </w:tcPr>
          <w:p w:rsidR="007D5051" w:rsidRPr="00E96A58" w:rsidRDefault="007D5051" w:rsidP="00E96A58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E96A58">
              <w:rPr>
                <w:rFonts w:ascii="Century Gothic" w:hAnsi="Century Gothic"/>
                <w:b/>
                <w:sz w:val="24"/>
              </w:rPr>
              <w:t>2019-20</w:t>
            </w:r>
          </w:p>
        </w:tc>
        <w:tc>
          <w:tcPr>
            <w:tcW w:w="1401" w:type="dxa"/>
            <w:vAlign w:val="bottom"/>
          </w:tcPr>
          <w:p w:rsidR="007D5051" w:rsidRPr="00E96A58" w:rsidRDefault="007D5051" w:rsidP="00E96A58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E96A58">
              <w:rPr>
                <w:rFonts w:ascii="Century Gothic" w:hAnsi="Century Gothic"/>
                <w:b/>
                <w:sz w:val="24"/>
              </w:rPr>
              <w:t>2020-21</w:t>
            </w:r>
          </w:p>
        </w:tc>
      </w:tr>
      <w:tr w:rsidR="007D5051" w:rsidTr="00A53763">
        <w:tc>
          <w:tcPr>
            <w:tcW w:w="3686" w:type="dxa"/>
            <w:vAlign w:val="bottom"/>
          </w:tcPr>
          <w:p w:rsidR="007D5051" w:rsidRPr="00A53763" w:rsidRDefault="007D5051" w:rsidP="007D5051">
            <w:pPr>
              <w:rPr>
                <w:rFonts w:ascii="Century Gothic" w:hAnsi="Century Gothic" w:cs="Calibri"/>
                <w:color w:val="000000"/>
              </w:rPr>
            </w:pPr>
            <w:r w:rsidRPr="00A53763">
              <w:rPr>
                <w:rFonts w:ascii="Century Gothic" w:hAnsi="Century Gothic" w:cs="Calibri"/>
                <w:color w:val="000000"/>
              </w:rPr>
              <w:t>TCTC Graduate Production Rate</w:t>
            </w:r>
          </w:p>
        </w:tc>
        <w:tc>
          <w:tcPr>
            <w:tcW w:w="1400" w:type="dxa"/>
            <w:vAlign w:val="center"/>
          </w:tcPr>
          <w:p w:rsidR="007D5051" w:rsidRPr="00A53763" w:rsidRDefault="007D5051" w:rsidP="007D5051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A53763">
              <w:rPr>
                <w:rFonts w:ascii="Century Gothic" w:hAnsi="Century Gothic" w:cs="Calibri"/>
                <w:color w:val="000000"/>
              </w:rPr>
              <w:t>38%</w:t>
            </w:r>
          </w:p>
        </w:tc>
        <w:tc>
          <w:tcPr>
            <w:tcW w:w="1401" w:type="dxa"/>
            <w:vAlign w:val="center"/>
          </w:tcPr>
          <w:p w:rsidR="007D5051" w:rsidRPr="00A53763" w:rsidRDefault="007D5051" w:rsidP="007D5051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A53763">
              <w:rPr>
                <w:rFonts w:ascii="Century Gothic" w:hAnsi="Century Gothic" w:cs="Calibri"/>
                <w:color w:val="000000"/>
              </w:rPr>
              <w:t>38%</w:t>
            </w:r>
          </w:p>
        </w:tc>
        <w:tc>
          <w:tcPr>
            <w:tcW w:w="1401" w:type="dxa"/>
            <w:vAlign w:val="center"/>
          </w:tcPr>
          <w:p w:rsidR="007D5051" w:rsidRPr="00A53763" w:rsidRDefault="007D5051" w:rsidP="007D5051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A53763">
              <w:rPr>
                <w:rFonts w:ascii="Century Gothic" w:hAnsi="Century Gothic" w:cs="Calibri"/>
                <w:color w:val="000000"/>
              </w:rPr>
              <w:t>42%</w:t>
            </w:r>
          </w:p>
        </w:tc>
        <w:tc>
          <w:tcPr>
            <w:tcW w:w="1401" w:type="dxa"/>
            <w:vAlign w:val="center"/>
          </w:tcPr>
          <w:p w:rsidR="007D5051" w:rsidRPr="00A53763" w:rsidRDefault="007D5051" w:rsidP="007D5051">
            <w:pPr>
              <w:jc w:val="center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38%</w:t>
            </w:r>
          </w:p>
        </w:tc>
        <w:tc>
          <w:tcPr>
            <w:tcW w:w="1401" w:type="dxa"/>
            <w:vAlign w:val="center"/>
          </w:tcPr>
          <w:p w:rsidR="007D5051" w:rsidRPr="00A53763" w:rsidRDefault="007D5051" w:rsidP="007D5051">
            <w:pPr>
              <w:jc w:val="center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48%</w:t>
            </w:r>
          </w:p>
        </w:tc>
      </w:tr>
      <w:tr w:rsidR="007D5051" w:rsidTr="00A53763">
        <w:tc>
          <w:tcPr>
            <w:tcW w:w="3686" w:type="dxa"/>
            <w:vAlign w:val="bottom"/>
          </w:tcPr>
          <w:p w:rsidR="007D5051" w:rsidRPr="00A53763" w:rsidRDefault="007D5051" w:rsidP="007D5051">
            <w:pPr>
              <w:rPr>
                <w:rFonts w:ascii="Century Gothic" w:hAnsi="Century Gothic" w:cs="Calibri"/>
                <w:color w:val="000000"/>
              </w:rPr>
            </w:pPr>
            <w:r w:rsidRPr="00A53763">
              <w:rPr>
                <w:rFonts w:ascii="Century Gothic" w:hAnsi="Century Gothic" w:cs="Calibri"/>
                <w:color w:val="000000"/>
              </w:rPr>
              <w:t>Minimum Threshold</w:t>
            </w:r>
          </w:p>
        </w:tc>
        <w:tc>
          <w:tcPr>
            <w:tcW w:w="1400" w:type="dxa"/>
            <w:vAlign w:val="center"/>
          </w:tcPr>
          <w:p w:rsidR="007D5051" w:rsidRPr="00A53763" w:rsidRDefault="007D5051" w:rsidP="007D5051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A53763">
              <w:rPr>
                <w:rFonts w:ascii="Century Gothic" w:hAnsi="Century Gothic" w:cs="Calibri"/>
                <w:color w:val="000000"/>
              </w:rPr>
              <w:t>20%</w:t>
            </w:r>
          </w:p>
        </w:tc>
        <w:tc>
          <w:tcPr>
            <w:tcW w:w="1401" w:type="dxa"/>
            <w:vAlign w:val="center"/>
          </w:tcPr>
          <w:p w:rsidR="007D5051" w:rsidRPr="00A53763" w:rsidRDefault="007D5051" w:rsidP="007D5051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A53763">
              <w:rPr>
                <w:rFonts w:ascii="Century Gothic" w:hAnsi="Century Gothic" w:cs="Calibri"/>
                <w:color w:val="000000"/>
              </w:rPr>
              <w:t>20%</w:t>
            </w:r>
          </w:p>
        </w:tc>
        <w:tc>
          <w:tcPr>
            <w:tcW w:w="1401" w:type="dxa"/>
            <w:vAlign w:val="center"/>
          </w:tcPr>
          <w:p w:rsidR="007D5051" w:rsidRPr="00A53763" w:rsidRDefault="007D5051" w:rsidP="007D5051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A53763">
              <w:rPr>
                <w:rFonts w:ascii="Century Gothic" w:hAnsi="Century Gothic" w:cs="Calibri"/>
                <w:color w:val="000000"/>
              </w:rPr>
              <w:t>20%</w:t>
            </w:r>
          </w:p>
        </w:tc>
        <w:tc>
          <w:tcPr>
            <w:tcW w:w="1401" w:type="dxa"/>
            <w:vAlign w:val="center"/>
          </w:tcPr>
          <w:p w:rsidR="007D5051" w:rsidRPr="00A53763" w:rsidRDefault="007D5051" w:rsidP="007D5051">
            <w:pPr>
              <w:jc w:val="center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20%</w:t>
            </w:r>
          </w:p>
        </w:tc>
        <w:tc>
          <w:tcPr>
            <w:tcW w:w="1401" w:type="dxa"/>
            <w:vAlign w:val="center"/>
          </w:tcPr>
          <w:p w:rsidR="007D5051" w:rsidRPr="00A53763" w:rsidRDefault="007D5051" w:rsidP="007D5051">
            <w:pPr>
              <w:jc w:val="center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20%</w:t>
            </w:r>
          </w:p>
        </w:tc>
      </w:tr>
      <w:tr w:rsidR="007D5051" w:rsidTr="00A53763">
        <w:tc>
          <w:tcPr>
            <w:tcW w:w="3686" w:type="dxa"/>
            <w:vAlign w:val="bottom"/>
          </w:tcPr>
          <w:p w:rsidR="007D5051" w:rsidRPr="00A53763" w:rsidRDefault="007D5051" w:rsidP="007D5051">
            <w:pPr>
              <w:rPr>
                <w:rFonts w:ascii="Century Gothic" w:hAnsi="Century Gothic" w:cs="Calibri"/>
                <w:color w:val="000000"/>
              </w:rPr>
            </w:pPr>
            <w:r w:rsidRPr="00A53763">
              <w:rPr>
                <w:rFonts w:ascii="Century Gothic" w:hAnsi="Century Gothic" w:cs="Calibri"/>
                <w:color w:val="000000"/>
              </w:rPr>
              <w:t>System Average</w:t>
            </w:r>
          </w:p>
        </w:tc>
        <w:tc>
          <w:tcPr>
            <w:tcW w:w="1400" w:type="dxa"/>
            <w:vAlign w:val="center"/>
          </w:tcPr>
          <w:p w:rsidR="007D5051" w:rsidRPr="00A53763" w:rsidRDefault="007D5051" w:rsidP="007D5051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A53763">
              <w:rPr>
                <w:rFonts w:ascii="Century Gothic" w:hAnsi="Century Gothic" w:cs="Calibri"/>
                <w:color w:val="000000"/>
              </w:rPr>
              <w:t>30%</w:t>
            </w:r>
          </w:p>
        </w:tc>
        <w:tc>
          <w:tcPr>
            <w:tcW w:w="1401" w:type="dxa"/>
            <w:vAlign w:val="center"/>
          </w:tcPr>
          <w:p w:rsidR="007D5051" w:rsidRPr="00A53763" w:rsidRDefault="007D5051" w:rsidP="007D5051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A53763">
              <w:rPr>
                <w:rFonts w:ascii="Century Gothic" w:hAnsi="Century Gothic" w:cs="Calibri"/>
                <w:color w:val="000000"/>
              </w:rPr>
              <w:t>27%</w:t>
            </w:r>
          </w:p>
        </w:tc>
        <w:tc>
          <w:tcPr>
            <w:tcW w:w="1401" w:type="dxa"/>
            <w:vAlign w:val="center"/>
          </w:tcPr>
          <w:p w:rsidR="007D5051" w:rsidRPr="00A53763" w:rsidRDefault="007D5051" w:rsidP="007D5051">
            <w:pPr>
              <w:jc w:val="center"/>
              <w:rPr>
                <w:rFonts w:ascii="Century Gothic" w:hAnsi="Century Gothic" w:cs="Calibri"/>
                <w:color w:val="000000"/>
              </w:rPr>
            </w:pPr>
            <w:r w:rsidRPr="00A53763">
              <w:rPr>
                <w:rFonts w:ascii="Century Gothic" w:hAnsi="Century Gothic" w:cs="Calibri"/>
                <w:color w:val="000000"/>
              </w:rPr>
              <w:t>29%</w:t>
            </w:r>
          </w:p>
        </w:tc>
        <w:tc>
          <w:tcPr>
            <w:tcW w:w="1401" w:type="dxa"/>
            <w:vAlign w:val="center"/>
          </w:tcPr>
          <w:p w:rsidR="007D5051" w:rsidRPr="00A53763" w:rsidRDefault="007D5051" w:rsidP="007D5051">
            <w:pPr>
              <w:jc w:val="center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29%</w:t>
            </w:r>
          </w:p>
        </w:tc>
        <w:tc>
          <w:tcPr>
            <w:tcW w:w="1401" w:type="dxa"/>
            <w:vAlign w:val="center"/>
          </w:tcPr>
          <w:p w:rsidR="007D5051" w:rsidRPr="00A53763" w:rsidRDefault="007D5051" w:rsidP="007D5051">
            <w:pPr>
              <w:jc w:val="center"/>
              <w:rPr>
                <w:rFonts w:ascii="Century Gothic" w:hAnsi="Century Gothic" w:cs="Calibri"/>
                <w:color w:val="000000"/>
              </w:rPr>
            </w:pPr>
            <w:r>
              <w:rPr>
                <w:rFonts w:ascii="Century Gothic" w:hAnsi="Century Gothic" w:cs="Calibri"/>
                <w:color w:val="000000"/>
              </w:rPr>
              <w:t>32%</w:t>
            </w:r>
          </w:p>
        </w:tc>
      </w:tr>
    </w:tbl>
    <w:p w:rsidR="00A53763" w:rsidRPr="002212B9" w:rsidRDefault="00A53763" w:rsidP="00A53763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</w:rPr>
      </w:pPr>
    </w:p>
    <w:p w:rsidR="000E23EA" w:rsidRPr="002212B9" w:rsidRDefault="00A53763" w:rsidP="000E23EA">
      <w:pPr>
        <w:spacing w:before="23" w:after="0" w:line="250" w:lineRule="auto"/>
        <w:ind w:left="100" w:right="85"/>
        <w:rPr>
          <w:rFonts w:ascii="Century Gothic" w:eastAsia="Arial" w:hAnsi="Century Gothic" w:cs="Arial"/>
          <w:i/>
          <w:color w:val="231F20"/>
        </w:rPr>
      </w:pPr>
      <w:r w:rsidRPr="002212B9">
        <w:rPr>
          <w:rFonts w:ascii="Century Gothic" w:eastAsia="Arial" w:hAnsi="Century Gothic" w:cs="Arial"/>
          <w:i/>
          <w:color w:val="231F20"/>
        </w:rPr>
        <w:t>Data Source:</w:t>
      </w:r>
      <w:r w:rsidR="000E23EA" w:rsidRPr="002212B9">
        <w:rPr>
          <w:rFonts w:ascii="Century Gothic" w:eastAsia="Arial" w:hAnsi="Century Gothic" w:cs="Arial"/>
          <w:i/>
          <w:color w:val="231F20"/>
        </w:rPr>
        <w:t xml:space="preserve"> Unduplicated graduate headcounts come from the CERS graduate extracts which cover the July – June award dates, and fall data comes from the CERS opening FTE data.</w:t>
      </w:r>
    </w:p>
    <w:p w:rsidR="000E23EA" w:rsidRPr="002212B9" w:rsidRDefault="000E23EA" w:rsidP="000E23EA">
      <w:pPr>
        <w:spacing w:before="23" w:after="0" w:line="250" w:lineRule="auto"/>
        <w:ind w:left="100" w:right="85"/>
        <w:rPr>
          <w:rFonts w:ascii="Century Gothic" w:eastAsia="Arial" w:hAnsi="Century Gothic" w:cs="Arial"/>
          <w:i/>
          <w:color w:val="231F20"/>
        </w:rPr>
      </w:pPr>
    </w:p>
    <w:p w:rsidR="000E23EA" w:rsidRPr="002212B9" w:rsidRDefault="000E23EA" w:rsidP="000E23EA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</w:rPr>
      </w:pPr>
      <w:r w:rsidRPr="002212B9">
        <w:rPr>
          <w:rFonts w:ascii="Century Gothic" w:eastAsia="Arial" w:hAnsi="Century Gothic" w:cs="Arial"/>
          <w:color w:val="231F20"/>
        </w:rPr>
        <w:t xml:space="preserve">More detailed data on TCTC </w:t>
      </w:r>
      <w:r w:rsidR="006B25DC" w:rsidRPr="002212B9">
        <w:rPr>
          <w:rFonts w:ascii="Century Gothic" w:eastAsia="Arial" w:hAnsi="Century Gothic" w:cs="Arial"/>
          <w:color w:val="231F20"/>
        </w:rPr>
        <w:t xml:space="preserve">graduates and </w:t>
      </w:r>
      <w:r w:rsidRPr="002212B9">
        <w:rPr>
          <w:rFonts w:ascii="Century Gothic" w:eastAsia="Arial" w:hAnsi="Century Gothic" w:cs="Arial"/>
          <w:color w:val="231F20"/>
        </w:rPr>
        <w:t xml:space="preserve">awards can be found on the </w:t>
      </w:r>
      <w:hyperlink r:id="rId7" w:history="1">
        <w:r w:rsidRPr="002212B9">
          <w:rPr>
            <w:rStyle w:val="Hyperlink"/>
            <w:rFonts w:ascii="Century Gothic" w:eastAsia="Arial" w:hAnsi="Century Gothic" w:cs="Arial"/>
          </w:rPr>
          <w:t>Awards</w:t>
        </w:r>
      </w:hyperlink>
      <w:r w:rsidRPr="002212B9">
        <w:rPr>
          <w:rFonts w:ascii="Century Gothic" w:eastAsia="Arial" w:hAnsi="Century Gothic" w:cs="Arial"/>
          <w:color w:val="231F20"/>
        </w:rPr>
        <w:t xml:space="preserve"> page on the Institution Research website. Additionally, </w:t>
      </w:r>
      <w:r w:rsidR="006B25DC" w:rsidRPr="002212B9">
        <w:rPr>
          <w:rFonts w:ascii="Century Gothic" w:eastAsia="Arial" w:hAnsi="Century Gothic" w:cs="Arial"/>
          <w:color w:val="231F20"/>
        </w:rPr>
        <w:t xml:space="preserve">fall </w:t>
      </w:r>
      <w:r w:rsidRPr="002212B9">
        <w:rPr>
          <w:rFonts w:ascii="Century Gothic" w:eastAsia="Arial" w:hAnsi="Century Gothic" w:cs="Arial"/>
          <w:color w:val="231F20"/>
        </w:rPr>
        <w:t>headcount and FTE enrollment</w:t>
      </w:r>
      <w:r w:rsidR="006B25DC" w:rsidRPr="002212B9">
        <w:rPr>
          <w:rFonts w:ascii="Century Gothic" w:eastAsia="Arial" w:hAnsi="Century Gothic" w:cs="Arial"/>
          <w:color w:val="231F20"/>
        </w:rPr>
        <w:t xml:space="preserve"> data can be found on the </w:t>
      </w:r>
      <w:hyperlink r:id="rId8" w:history="1">
        <w:r w:rsidR="006B25DC" w:rsidRPr="002212B9">
          <w:rPr>
            <w:rStyle w:val="Hyperlink"/>
            <w:rFonts w:ascii="Century Gothic" w:eastAsia="Arial" w:hAnsi="Century Gothic" w:cs="Arial"/>
          </w:rPr>
          <w:t>Fall Enrollment</w:t>
        </w:r>
      </w:hyperlink>
      <w:r w:rsidR="006B25DC" w:rsidRPr="002212B9">
        <w:rPr>
          <w:rFonts w:ascii="Century Gothic" w:eastAsia="Arial" w:hAnsi="Century Gothic" w:cs="Arial"/>
          <w:color w:val="231F20"/>
        </w:rPr>
        <w:t xml:space="preserve"> page.</w:t>
      </w:r>
    </w:p>
    <w:p w:rsidR="00CD52C9" w:rsidRPr="002212B9" w:rsidRDefault="00CD52C9" w:rsidP="000E23EA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</w:rPr>
      </w:pPr>
    </w:p>
    <w:p w:rsidR="0091391E" w:rsidRPr="002212B9" w:rsidRDefault="0091391E" w:rsidP="0091391E">
      <w:pPr>
        <w:spacing w:before="23" w:after="0" w:line="250" w:lineRule="auto"/>
        <w:ind w:left="100" w:right="85"/>
        <w:rPr>
          <w:rFonts w:ascii="Century Gothic" w:eastAsia="Arial" w:hAnsi="Century Gothic" w:cs="Arial"/>
          <w:b/>
          <w:color w:val="231F20"/>
          <w:u w:val="single"/>
        </w:rPr>
      </w:pPr>
      <w:r w:rsidRPr="002212B9">
        <w:rPr>
          <w:rFonts w:ascii="Century Gothic" w:eastAsia="Arial" w:hAnsi="Century Gothic" w:cs="Arial"/>
          <w:b/>
          <w:color w:val="231F20"/>
          <w:u w:val="single"/>
        </w:rPr>
        <w:t>Student Success Rate</w:t>
      </w:r>
    </w:p>
    <w:p w:rsidR="0091391E" w:rsidRPr="002212B9" w:rsidRDefault="0091391E" w:rsidP="00CC54DB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</w:rPr>
      </w:pPr>
      <w:r w:rsidRPr="002212B9">
        <w:rPr>
          <w:rFonts w:ascii="Century Gothic" w:eastAsia="Arial" w:hAnsi="Century Gothic" w:cs="Arial"/>
          <w:color w:val="231F20"/>
        </w:rPr>
        <w:t>The student success rate is a cohort-based measurement that calculates the percentage of a given cohort who graduate, transfer to another post-secondary institution, or remain enrolled after three years from their initial first-time postsecondary enrollment.</w:t>
      </w:r>
      <w:r w:rsidR="00CC54DB" w:rsidRPr="002212B9">
        <w:rPr>
          <w:rFonts w:ascii="Century Gothic" w:eastAsia="Arial" w:hAnsi="Century Gothic" w:cs="Arial"/>
          <w:color w:val="231F20"/>
        </w:rPr>
        <w:t xml:space="preserve"> TCTC consistently exceeds the minimum threshold target for student success rate.</w:t>
      </w:r>
      <w:r w:rsidRPr="002212B9">
        <w:rPr>
          <w:rFonts w:ascii="Century Gothic" w:eastAsia="Arial" w:hAnsi="Century Gothic" w:cs="Arial"/>
          <w:color w:val="231F20"/>
        </w:rPr>
        <w:t xml:space="preserve"> TCTC’s five-year </w:t>
      </w:r>
      <w:r w:rsidR="00CC54DB" w:rsidRPr="002212B9">
        <w:rPr>
          <w:rFonts w:ascii="Century Gothic" w:eastAsia="Arial" w:hAnsi="Century Gothic" w:cs="Arial"/>
          <w:color w:val="231F20"/>
        </w:rPr>
        <w:t>average success</w:t>
      </w:r>
      <w:r w:rsidRPr="002212B9">
        <w:rPr>
          <w:rFonts w:ascii="Century Gothic" w:eastAsia="Arial" w:hAnsi="Century Gothic" w:cs="Arial"/>
          <w:color w:val="231F20"/>
        </w:rPr>
        <w:t xml:space="preserve"> rate is </w:t>
      </w:r>
      <w:r w:rsidR="00CC54DB" w:rsidRPr="002212B9">
        <w:rPr>
          <w:rFonts w:ascii="Century Gothic" w:eastAsia="Arial" w:hAnsi="Century Gothic" w:cs="Arial"/>
          <w:color w:val="231F20"/>
        </w:rPr>
        <w:t>67</w:t>
      </w:r>
      <w:r w:rsidRPr="002212B9">
        <w:rPr>
          <w:rFonts w:ascii="Century Gothic" w:eastAsia="Arial" w:hAnsi="Century Gothic" w:cs="Arial"/>
          <w:color w:val="231F20"/>
        </w:rPr>
        <w:t xml:space="preserve">%, and its current </w:t>
      </w:r>
      <w:r w:rsidR="00CC54DB" w:rsidRPr="002212B9">
        <w:rPr>
          <w:rFonts w:ascii="Century Gothic" w:eastAsia="Arial" w:hAnsi="Century Gothic" w:cs="Arial"/>
          <w:color w:val="231F20"/>
        </w:rPr>
        <w:t>success</w:t>
      </w:r>
      <w:r w:rsidRPr="002212B9">
        <w:rPr>
          <w:rFonts w:ascii="Century Gothic" w:eastAsia="Arial" w:hAnsi="Century Gothic" w:cs="Arial"/>
          <w:color w:val="231F20"/>
        </w:rPr>
        <w:t xml:space="preserve"> rate is </w:t>
      </w:r>
      <w:r w:rsidR="00CC54DB" w:rsidRPr="002212B9">
        <w:rPr>
          <w:rFonts w:ascii="Century Gothic" w:eastAsia="Arial" w:hAnsi="Century Gothic" w:cs="Arial"/>
          <w:color w:val="231F20"/>
        </w:rPr>
        <w:t>68</w:t>
      </w:r>
      <w:r w:rsidRPr="002212B9">
        <w:rPr>
          <w:rFonts w:ascii="Century Gothic" w:eastAsia="Arial" w:hAnsi="Century Gothic" w:cs="Arial"/>
          <w:color w:val="231F20"/>
        </w:rPr>
        <w:t xml:space="preserve">%. </w:t>
      </w:r>
      <w:r w:rsidR="00CC54DB" w:rsidRPr="002212B9">
        <w:rPr>
          <w:rFonts w:ascii="Century Gothic" w:eastAsia="Arial" w:hAnsi="Century Gothic" w:cs="Arial"/>
          <w:color w:val="231F20"/>
        </w:rPr>
        <w:t>Additionally</w:t>
      </w:r>
      <w:r w:rsidRPr="002212B9">
        <w:rPr>
          <w:rFonts w:ascii="Century Gothic" w:eastAsia="Arial" w:hAnsi="Century Gothic" w:cs="Arial"/>
          <w:color w:val="231F20"/>
        </w:rPr>
        <w:t xml:space="preserve">, TCTC consistently exceeds the System average </w:t>
      </w:r>
      <w:r w:rsidR="00CC54DB" w:rsidRPr="002212B9">
        <w:rPr>
          <w:rFonts w:ascii="Century Gothic" w:eastAsia="Arial" w:hAnsi="Century Gothic" w:cs="Arial"/>
          <w:color w:val="231F20"/>
        </w:rPr>
        <w:t>success</w:t>
      </w:r>
      <w:r w:rsidRPr="002212B9">
        <w:rPr>
          <w:rFonts w:ascii="Century Gothic" w:eastAsia="Arial" w:hAnsi="Century Gothic" w:cs="Arial"/>
          <w:color w:val="231F20"/>
        </w:rPr>
        <w:t xml:space="preserve"> rate.</w:t>
      </w:r>
    </w:p>
    <w:p w:rsidR="0091391E" w:rsidRPr="002212B9" w:rsidRDefault="0091391E" w:rsidP="0091391E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</w:r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2775"/>
        <w:gridCol w:w="1583"/>
        <w:gridCol w:w="1583"/>
        <w:gridCol w:w="1583"/>
        <w:gridCol w:w="1583"/>
        <w:gridCol w:w="1583"/>
      </w:tblGrid>
      <w:tr w:rsidR="00CC54DB" w:rsidTr="00E96A58">
        <w:tc>
          <w:tcPr>
            <w:tcW w:w="2775" w:type="dxa"/>
          </w:tcPr>
          <w:p w:rsidR="00E96A58" w:rsidRDefault="00E96A58" w:rsidP="00E96A58">
            <w:pPr>
              <w:pStyle w:val="NoSpacing"/>
              <w:rPr>
                <w:rFonts w:ascii="Century Gothic" w:hAnsi="Century Gothic"/>
                <w:b/>
                <w:sz w:val="24"/>
              </w:rPr>
            </w:pPr>
          </w:p>
          <w:p w:rsidR="00CC54DB" w:rsidRPr="00E96A58" w:rsidRDefault="00CC54DB" w:rsidP="00E96A58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 w:rsidRPr="00E96A58">
              <w:rPr>
                <w:rFonts w:ascii="Century Gothic" w:hAnsi="Century Gothic"/>
                <w:b/>
                <w:sz w:val="24"/>
              </w:rPr>
              <w:t>Cohort</w:t>
            </w:r>
          </w:p>
        </w:tc>
        <w:tc>
          <w:tcPr>
            <w:tcW w:w="1583" w:type="dxa"/>
            <w:vAlign w:val="bottom"/>
          </w:tcPr>
          <w:p w:rsidR="00CC54DB" w:rsidRPr="00E96A58" w:rsidRDefault="00CC54DB" w:rsidP="00E96A58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E96A58">
              <w:rPr>
                <w:rFonts w:ascii="Century Gothic" w:hAnsi="Century Gothic"/>
                <w:b/>
                <w:sz w:val="24"/>
              </w:rPr>
              <w:t>2013</w:t>
            </w:r>
          </w:p>
        </w:tc>
        <w:tc>
          <w:tcPr>
            <w:tcW w:w="1583" w:type="dxa"/>
            <w:vAlign w:val="bottom"/>
          </w:tcPr>
          <w:p w:rsidR="00CC54DB" w:rsidRPr="00E96A58" w:rsidRDefault="00CC54DB" w:rsidP="00E96A58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E96A58">
              <w:rPr>
                <w:rFonts w:ascii="Century Gothic" w:hAnsi="Century Gothic"/>
                <w:b/>
                <w:sz w:val="24"/>
              </w:rPr>
              <w:t>2014</w:t>
            </w:r>
          </w:p>
        </w:tc>
        <w:tc>
          <w:tcPr>
            <w:tcW w:w="1583" w:type="dxa"/>
            <w:vAlign w:val="bottom"/>
          </w:tcPr>
          <w:p w:rsidR="00CC54DB" w:rsidRPr="00E96A58" w:rsidRDefault="00CC54DB" w:rsidP="00E96A58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E96A58">
              <w:rPr>
                <w:rFonts w:ascii="Century Gothic" w:hAnsi="Century Gothic"/>
                <w:b/>
                <w:sz w:val="24"/>
              </w:rPr>
              <w:t>2015</w:t>
            </w:r>
          </w:p>
        </w:tc>
        <w:tc>
          <w:tcPr>
            <w:tcW w:w="1583" w:type="dxa"/>
            <w:vAlign w:val="bottom"/>
          </w:tcPr>
          <w:p w:rsidR="00CC54DB" w:rsidRPr="00E96A58" w:rsidRDefault="00CC54DB" w:rsidP="00E96A58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E96A58">
              <w:rPr>
                <w:rFonts w:ascii="Century Gothic" w:hAnsi="Century Gothic"/>
                <w:b/>
                <w:sz w:val="24"/>
              </w:rPr>
              <w:t>2016</w:t>
            </w:r>
          </w:p>
        </w:tc>
        <w:tc>
          <w:tcPr>
            <w:tcW w:w="1583" w:type="dxa"/>
            <w:vAlign w:val="bottom"/>
          </w:tcPr>
          <w:p w:rsidR="00CC54DB" w:rsidRPr="00E96A58" w:rsidRDefault="00CC54DB" w:rsidP="00E96A58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E96A58">
              <w:rPr>
                <w:rFonts w:ascii="Century Gothic" w:hAnsi="Century Gothic"/>
                <w:b/>
                <w:sz w:val="24"/>
              </w:rPr>
              <w:t>2017</w:t>
            </w:r>
          </w:p>
        </w:tc>
      </w:tr>
      <w:tr w:rsidR="00CC54DB" w:rsidTr="00166942">
        <w:tc>
          <w:tcPr>
            <w:tcW w:w="2775" w:type="dxa"/>
          </w:tcPr>
          <w:p w:rsidR="00CC54DB" w:rsidRPr="00CC54DB" w:rsidRDefault="00CC54DB" w:rsidP="00CC54DB">
            <w:pPr>
              <w:rPr>
                <w:rFonts w:ascii="Century Gothic" w:hAnsi="Century Gothic"/>
              </w:rPr>
            </w:pPr>
            <w:r w:rsidRPr="00CC54DB">
              <w:rPr>
                <w:rFonts w:ascii="Century Gothic" w:hAnsi="Century Gothic"/>
              </w:rPr>
              <w:t>TCTC Success Rate</w:t>
            </w:r>
          </w:p>
        </w:tc>
        <w:tc>
          <w:tcPr>
            <w:tcW w:w="1583" w:type="dxa"/>
          </w:tcPr>
          <w:p w:rsidR="00CC54DB" w:rsidRPr="00CC54DB" w:rsidRDefault="00CC54DB" w:rsidP="00CC54DB">
            <w:pPr>
              <w:jc w:val="center"/>
              <w:rPr>
                <w:rFonts w:ascii="Century Gothic" w:hAnsi="Century Gothic"/>
              </w:rPr>
            </w:pPr>
            <w:r w:rsidRPr="00CC54DB">
              <w:rPr>
                <w:rFonts w:ascii="Century Gothic" w:hAnsi="Century Gothic"/>
              </w:rPr>
              <w:t>64%</w:t>
            </w:r>
          </w:p>
        </w:tc>
        <w:tc>
          <w:tcPr>
            <w:tcW w:w="1583" w:type="dxa"/>
          </w:tcPr>
          <w:p w:rsidR="00CC54DB" w:rsidRPr="00CC54DB" w:rsidRDefault="00CC54DB" w:rsidP="00CC54DB">
            <w:pPr>
              <w:jc w:val="center"/>
              <w:rPr>
                <w:rFonts w:ascii="Century Gothic" w:hAnsi="Century Gothic"/>
              </w:rPr>
            </w:pPr>
            <w:r w:rsidRPr="00CC54DB">
              <w:rPr>
                <w:rFonts w:ascii="Century Gothic" w:hAnsi="Century Gothic"/>
              </w:rPr>
              <w:t>64%</w:t>
            </w:r>
          </w:p>
        </w:tc>
        <w:tc>
          <w:tcPr>
            <w:tcW w:w="1583" w:type="dxa"/>
          </w:tcPr>
          <w:p w:rsidR="00CC54DB" w:rsidRPr="00CC54DB" w:rsidRDefault="00CC54DB" w:rsidP="00CC54DB">
            <w:pPr>
              <w:jc w:val="center"/>
              <w:rPr>
                <w:rFonts w:ascii="Century Gothic" w:hAnsi="Century Gothic"/>
              </w:rPr>
            </w:pPr>
            <w:r w:rsidRPr="00CC54DB">
              <w:rPr>
                <w:rFonts w:ascii="Century Gothic" w:hAnsi="Century Gothic"/>
              </w:rPr>
              <w:t>71%</w:t>
            </w:r>
          </w:p>
        </w:tc>
        <w:tc>
          <w:tcPr>
            <w:tcW w:w="1583" w:type="dxa"/>
          </w:tcPr>
          <w:p w:rsidR="00CC54DB" w:rsidRPr="00CC54DB" w:rsidRDefault="00CC54DB" w:rsidP="00CC54DB">
            <w:pPr>
              <w:jc w:val="center"/>
              <w:rPr>
                <w:rFonts w:ascii="Century Gothic" w:hAnsi="Century Gothic"/>
              </w:rPr>
            </w:pPr>
            <w:r w:rsidRPr="00CC54DB">
              <w:rPr>
                <w:rFonts w:ascii="Century Gothic" w:hAnsi="Century Gothic"/>
              </w:rPr>
              <w:t>70%</w:t>
            </w:r>
          </w:p>
        </w:tc>
        <w:tc>
          <w:tcPr>
            <w:tcW w:w="1583" w:type="dxa"/>
          </w:tcPr>
          <w:p w:rsidR="00CC54DB" w:rsidRPr="00CC54DB" w:rsidRDefault="00CC54DB" w:rsidP="00CC54DB">
            <w:pPr>
              <w:jc w:val="center"/>
              <w:rPr>
                <w:rFonts w:ascii="Century Gothic" w:hAnsi="Century Gothic"/>
              </w:rPr>
            </w:pPr>
            <w:r w:rsidRPr="00CC54DB">
              <w:rPr>
                <w:rFonts w:ascii="Century Gothic" w:hAnsi="Century Gothic"/>
              </w:rPr>
              <w:t>68%</w:t>
            </w:r>
          </w:p>
        </w:tc>
      </w:tr>
      <w:tr w:rsidR="00CC54DB" w:rsidTr="00166942">
        <w:tc>
          <w:tcPr>
            <w:tcW w:w="2775" w:type="dxa"/>
          </w:tcPr>
          <w:p w:rsidR="00CC54DB" w:rsidRPr="00CC54DB" w:rsidRDefault="00CC54DB" w:rsidP="00CC54DB">
            <w:pPr>
              <w:rPr>
                <w:rFonts w:ascii="Century Gothic" w:hAnsi="Century Gothic"/>
              </w:rPr>
            </w:pPr>
            <w:r w:rsidRPr="00CC54DB">
              <w:rPr>
                <w:rFonts w:ascii="Century Gothic" w:hAnsi="Century Gothic"/>
              </w:rPr>
              <w:t>Minimum Threshold</w:t>
            </w:r>
          </w:p>
        </w:tc>
        <w:tc>
          <w:tcPr>
            <w:tcW w:w="1583" w:type="dxa"/>
          </w:tcPr>
          <w:p w:rsidR="00CC54DB" w:rsidRPr="00CC54DB" w:rsidRDefault="00CC54DB" w:rsidP="00CC54DB">
            <w:pPr>
              <w:jc w:val="center"/>
              <w:rPr>
                <w:rFonts w:ascii="Century Gothic" w:hAnsi="Century Gothic"/>
              </w:rPr>
            </w:pPr>
            <w:r w:rsidRPr="00CC54DB">
              <w:rPr>
                <w:rFonts w:ascii="Century Gothic" w:hAnsi="Century Gothic"/>
              </w:rPr>
              <w:t>27%</w:t>
            </w:r>
          </w:p>
        </w:tc>
        <w:tc>
          <w:tcPr>
            <w:tcW w:w="1583" w:type="dxa"/>
          </w:tcPr>
          <w:p w:rsidR="00CC54DB" w:rsidRPr="00CC54DB" w:rsidRDefault="00CC54DB" w:rsidP="00CC54DB">
            <w:pPr>
              <w:jc w:val="center"/>
              <w:rPr>
                <w:rFonts w:ascii="Century Gothic" w:hAnsi="Century Gothic"/>
              </w:rPr>
            </w:pPr>
            <w:r w:rsidRPr="00CC54DB">
              <w:rPr>
                <w:rFonts w:ascii="Century Gothic" w:hAnsi="Century Gothic"/>
              </w:rPr>
              <w:t>39%</w:t>
            </w:r>
          </w:p>
        </w:tc>
        <w:tc>
          <w:tcPr>
            <w:tcW w:w="1583" w:type="dxa"/>
          </w:tcPr>
          <w:p w:rsidR="00CC54DB" w:rsidRPr="00CC54DB" w:rsidRDefault="00CC54DB" w:rsidP="00CC54DB">
            <w:pPr>
              <w:jc w:val="center"/>
              <w:rPr>
                <w:rFonts w:ascii="Century Gothic" w:hAnsi="Century Gothic"/>
              </w:rPr>
            </w:pPr>
            <w:r w:rsidRPr="00CC54DB">
              <w:rPr>
                <w:rFonts w:ascii="Century Gothic" w:hAnsi="Century Gothic"/>
              </w:rPr>
              <w:t>39%</w:t>
            </w:r>
          </w:p>
        </w:tc>
        <w:tc>
          <w:tcPr>
            <w:tcW w:w="1583" w:type="dxa"/>
          </w:tcPr>
          <w:p w:rsidR="00CC54DB" w:rsidRPr="00CC54DB" w:rsidRDefault="00CC54DB" w:rsidP="00CC54DB">
            <w:pPr>
              <w:jc w:val="center"/>
              <w:rPr>
                <w:rFonts w:ascii="Century Gothic" w:hAnsi="Century Gothic"/>
              </w:rPr>
            </w:pPr>
            <w:r w:rsidRPr="00CC54DB">
              <w:rPr>
                <w:rFonts w:ascii="Century Gothic" w:hAnsi="Century Gothic"/>
              </w:rPr>
              <w:t>39%</w:t>
            </w:r>
          </w:p>
        </w:tc>
        <w:tc>
          <w:tcPr>
            <w:tcW w:w="1583" w:type="dxa"/>
          </w:tcPr>
          <w:p w:rsidR="00CC54DB" w:rsidRPr="00CC54DB" w:rsidRDefault="00CC54DB" w:rsidP="00CC54DB">
            <w:pPr>
              <w:jc w:val="center"/>
              <w:rPr>
                <w:rFonts w:ascii="Century Gothic" w:hAnsi="Century Gothic"/>
              </w:rPr>
            </w:pPr>
            <w:r w:rsidRPr="00CC54DB">
              <w:rPr>
                <w:rFonts w:ascii="Century Gothic" w:hAnsi="Century Gothic"/>
              </w:rPr>
              <w:t>49%</w:t>
            </w:r>
          </w:p>
        </w:tc>
      </w:tr>
      <w:tr w:rsidR="00CC54DB" w:rsidTr="00166942">
        <w:tc>
          <w:tcPr>
            <w:tcW w:w="2775" w:type="dxa"/>
          </w:tcPr>
          <w:p w:rsidR="00CC54DB" w:rsidRPr="00CC54DB" w:rsidRDefault="00CC54DB" w:rsidP="00CC54DB">
            <w:pPr>
              <w:rPr>
                <w:rFonts w:ascii="Century Gothic" w:hAnsi="Century Gothic"/>
              </w:rPr>
            </w:pPr>
            <w:r w:rsidRPr="00CC54DB">
              <w:rPr>
                <w:rFonts w:ascii="Century Gothic" w:hAnsi="Century Gothic"/>
              </w:rPr>
              <w:t>System Average</w:t>
            </w:r>
          </w:p>
        </w:tc>
        <w:tc>
          <w:tcPr>
            <w:tcW w:w="1583" w:type="dxa"/>
          </w:tcPr>
          <w:p w:rsidR="00CC54DB" w:rsidRPr="00CC54DB" w:rsidRDefault="00CC54DB" w:rsidP="00CC54DB">
            <w:pPr>
              <w:jc w:val="center"/>
              <w:rPr>
                <w:rFonts w:ascii="Century Gothic" w:hAnsi="Century Gothic"/>
              </w:rPr>
            </w:pPr>
            <w:r w:rsidRPr="00CC54DB">
              <w:rPr>
                <w:rFonts w:ascii="Century Gothic" w:hAnsi="Century Gothic"/>
              </w:rPr>
              <w:t>42%</w:t>
            </w:r>
          </w:p>
        </w:tc>
        <w:tc>
          <w:tcPr>
            <w:tcW w:w="1583" w:type="dxa"/>
          </w:tcPr>
          <w:p w:rsidR="00CC54DB" w:rsidRPr="00CC54DB" w:rsidRDefault="00CC54DB" w:rsidP="00CC54DB">
            <w:pPr>
              <w:jc w:val="center"/>
              <w:rPr>
                <w:rFonts w:ascii="Century Gothic" w:hAnsi="Century Gothic"/>
              </w:rPr>
            </w:pPr>
            <w:r w:rsidRPr="00CC54DB">
              <w:rPr>
                <w:rFonts w:ascii="Century Gothic" w:hAnsi="Century Gothic"/>
              </w:rPr>
              <w:t>43%</w:t>
            </w:r>
          </w:p>
        </w:tc>
        <w:tc>
          <w:tcPr>
            <w:tcW w:w="1583" w:type="dxa"/>
          </w:tcPr>
          <w:p w:rsidR="00CC54DB" w:rsidRPr="00CC54DB" w:rsidRDefault="00CC54DB" w:rsidP="00CC54DB">
            <w:pPr>
              <w:jc w:val="center"/>
              <w:rPr>
                <w:rFonts w:ascii="Century Gothic" w:hAnsi="Century Gothic"/>
              </w:rPr>
            </w:pPr>
            <w:r w:rsidRPr="00CC54DB">
              <w:rPr>
                <w:rFonts w:ascii="Century Gothic" w:hAnsi="Century Gothic"/>
              </w:rPr>
              <w:t>46%</w:t>
            </w:r>
          </w:p>
        </w:tc>
        <w:tc>
          <w:tcPr>
            <w:tcW w:w="1583" w:type="dxa"/>
          </w:tcPr>
          <w:p w:rsidR="00CC54DB" w:rsidRPr="00CC54DB" w:rsidRDefault="00CC54DB" w:rsidP="00CC54DB">
            <w:pPr>
              <w:jc w:val="center"/>
              <w:rPr>
                <w:rFonts w:ascii="Century Gothic" w:hAnsi="Century Gothic"/>
              </w:rPr>
            </w:pPr>
            <w:r w:rsidRPr="00CC54DB">
              <w:rPr>
                <w:rFonts w:ascii="Century Gothic" w:hAnsi="Century Gothic"/>
              </w:rPr>
              <w:t>47%</w:t>
            </w:r>
          </w:p>
        </w:tc>
        <w:tc>
          <w:tcPr>
            <w:tcW w:w="1583" w:type="dxa"/>
          </w:tcPr>
          <w:p w:rsidR="00CC54DB" w:rsidRPr="00CC54DB" w:rsidRDefault="00CC54DB" w:rsidP="00CC54DB">
            <w:pPr>
              <w:jc w:val="center"/>
              <w:rPr>
                <w:rFonts w:ascii="Century Gothic" w:hAnsi="Century Gothic"/>
              </w:rPr>
            </w:pPr>
            <w:r w:rsidRPr="00CC54DB">
              <w:rPr>
                <w:rFonts w:ascii="Century Gothic" w:hAnsi="Century Gothic"/>
              </w:rPr>
              <w:t>45%</w:t>
            </w:r>
          </w:p>
        </w:tc>
      </w:tr>
    </w:tbl>
    <w:p w:rsidR="00CC54DB" w:rsidRPr="002212B9" w:rsidRDefault="00CC54DB" w:rsidP="0091391E">
      <w:pPr>
        <w:spacing w:before="23" w:after="0" w:line="250" w:lineRule="auto"/>
        <w:ind w:left="100" w:right="85"/>
        <w:rPr>
          <w:rFonts w:ascii="Century Gothic" w:eastAsia="Arial" w:hAnsi="Century Gothic" w:cs="Arial"/>
          <w:i/>
          <w:color w:val="231F20"/>
        </w:rPr>
      </w:pPr>
    </w:p>
    <w:p w:rsidR="0091391E" w:rsidRPr="002212B9" w:rsidRDefault="0091391E" w:rsidP="0052402F">
      <w:pPr>
        <w:spacing w:before="23" w:after="0" w:line="250" w:lineRule="auto"/>
        <w:ind w:left="100" w:right="85"/>
        <w:rPr>
          <w:rFonts w:eastAsia="Arial" w:cs="Arial"/>
          <w:color w:val="231F20"/>
          <w:w w:val="82"/>
        </w:rPr>
      </w:pPr>
      <w:r w:rsidRPr="002212B9">
        <w:rPr>
          <w:rFonts w:ascii="Century Gothic" w:eastAsia="Arial" w:hAnsi="Century Gothic" w:cs="Arial"/>
          <w:i/>
          <w:color w:val="231F20"/>
        </w:rPr>
        <w:t xml:space="preserve">Data Source: </w:t>
      </w:r>
      <w:r w:rsidR="00CC54DB" w:rsidRPr="002212B9">
        <w:rPr>
          <w:rFonts w:ascii="Century Gothic" w:eastAsia="Arial" w:hAnsi="Century Gothic" w:cs="Arial"/>
          <w:i/>
          <w:color w:val="231F20"/>
        </w:rPr>
        <w:t xml:space="preserve">The </w:t>
      </w:r>
      <w:r w:rsidR="0052402F" w:rsidRPr="002212B9">
        <w:rPr>
          <w:rFonts w:ascii="Century Gothic" w:eastAsia="Arial" w:hAnsi="Century Gothic" w:cs="Arial"/>
          <w:i/>
          <w:color w:val="231F20"/>
        </w:rPr>
        <w:t xml:space="preserve">cohorts of </w:t>
      </w:r>
      <w:r w:rsidR="00CC54DB" w:rsidRPr="002212B9">
        <w:rPr>
          <w:rFonts w:ascii="Century Gothic" w:eastAsia="Arial" w:hAnsi="Century Gothic" w:cs="Arial"/>
          <w:i/>
          <w:color w:val="231F20"/>
        </w:rPr>
        <w:t xml:space="preserve">first-time freshmen, certificate, diploma, or degree-seeking </w:t>
      </w:r>
      <w:r w:rsidR="0052402F" w:rsidRPr="002212B9">
        <w:rPr>
          <w:rFonts w:ascii="Century Gothic" w:eastAsia="Arial" w:hAnsi="Century Gothic" w:cs="Arial"/>
          <w:i/>
          <w:color w:val="231F20"/>
        </w:rPr>
        <w:t>students</w:t>
      </w:r>
      <w:r w:rsidR="00CC54DB" w:rsidRPr="002212B9">
        <w:rPr>
          <w:rFonts w:ascii="Century Gothic" w:eastAsia="Arial" w:hAnsi="Century Gothic" w:cs="Arial"/>
          <w:i/>
          <w:color w:val="231F20"/>
        </w:rPr>
        <w:t xml:space="preserve"> are established using the CERS opening extracts. Graduates are obtained from CERS graduate extracts</w:t>
      </w:r>
      <w:r w:rsidR="0052402F" w:rsidRPr="002212B9">
        <w:rPr>
          <w:rFonts w:ascii="Century Gothic" w:eastAsia="Arial" w:hAnsi="Century Gothic" w:cs="Arial"/>
          <w:i/>
          <w:color w:val="231F20"/>
        </w:rPr>
        <w:t>, and s</w:t>
      </w:r>
      <w:r w:rsidR="00CC54DB" w:rsidRPr="002212B9">
        <w:rPr>
          <w:rFonts w:ascii="Century Gothic" w:eastAsia="Arial" w:hAnsi="Century Gothic" w:cs="Arial"/>
          <w:i/>
          <w:color w:val="231F20"/>
        </w:rPr>
        <w:t xml:space="preserve">tudents who are still enrolled are identified with fall CERS opening </w:t>
      </w:r>
      <w:r w:rsidR="0052402F" w:rsidRPr="002212B9">
        <w:rPr>
          <w:rFonts w:ascii="Century Gothic" w:eastAsia="Arial" w:hAnsi="Century Gothic" w:cs="Arial"/>
          <w:i/>
          <w:color w:val="231F20"/>
        </w:rPr>
        <w:t>extracts. Transfer students are identified using data from the National Student Clearinghouse.</w:t>
      </w:r>
    </w:p>
    <w:p w:rsidR="00CC54DB" w:rsidRPr="002212B9" w:rsidRDefault="00CC54DB" w:rsidP="0091391E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</w:rPr>
      </w:pPr>
    </w:p>
    <w:p w:rsidR="0091391E" w:rsidRPr="002212B9" w:rsidRDefault="0091391E" w:rsidP="0091391E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</w:rPr>
      </w:pPr>
      <w:r w:rsidRPr="002212B9">
        <w:rPr>
          <w:rFonts w:ascii="Century Gothic" w:eastAsia="Arial" w:hAnsi="Century Gothic" w:cs="Arial"/>
          <w:color w:val="231F20"/>
        </w:rPr>
        <w:t xml:space="preserve">More detailed data on TCTC’s </w:t>
      </w:r>
      <w:r w:rsidR="00CC54DB" w:rsidRPr="002212B9">
        <w:rPr>
          <w:rFonts w:ascii="Century Gothic" w:eastAsia="Arial" w:hAnsi="Century Gothic" w:cs="Arial"/>
          <w:color w:val="231F20"/>
        </w:rPr>
        <w:t>student success</w:t>
      </w:r>
      <w:r w:rsidRPr="002212B9">
        <w:rPr>
          <w:rFonts w:ascii="Century Gothic" w:eastAsia="Arial" w:hAnsi="Century Gothic" w:cs="Arial"/>
          <w:color w:val="231F20"/>
        </w:rPr>
        <w:t xml:space="preserve"> rates, including </w:t>
      </w:r>
      <w:r w:rsidR="00CC54DB" w:rsidRPr="002212B9">
        <w:rPr>
          <w:rFonts w:ascii="Century Gothic" w:eastAsia="Arial" w:hAnsi="Century Gothic" w:cs="Arial"/>
          <w:color w:val="231F20"/>
        </w:rPr>
        <w:t>disaggregated success rates by student demographic groups</w:t>
      </w:r>
      <w:r w:rsidRPr="002212B9">
        <w:rPr>
          <w:rFonts w:ascii="Century Gothic" w:eastAsia="Arial" w:hAnsi="Century Gothic" w:cs="Arial"/>
          <w:color w:val="231F20"/>
        </w:rPr>
        <w:t xml:space="preserve">, can be found on the </w:t>
      </w:r>
      <w:hyperlink r:id="rId9" w:history="1">
        <w:r w:rsidR="00CC54DB" w:rsidRPr="002212B9">
          <w:rPr>
            <w:rStyle w:val="Hyperlink"/>
            <w:rFonts w:ascii="Century Gothic" w:eastAsia="Arial" w:hAnsi="Century Gothic" w:cs="Arial"/>
          </w:rPr>
          <w:t>Graduation and Success</w:t>
        </w:r>
      </w:hyperlink>
      <w:r w:rsidR="00CC54DB" w:rsidRPr="002212B9">
        <w:rPr>
          <w:rFonts w:ascii="Century Gothic" w:eastAsia="Arial" w:hAnsi="Century Gothic" w:cs="Arial"/>
          <w:color w:val="231F20"/>
        </w:rPr>
        <w:t xml:space="preserve"> p</w:t>
      </w:r>
      <w:r w:rsidRPr="002212B9">
        <w:rPr>
          <w:rFonts w:ascii="Century Gothic" w:eastAsia="Arial" w:hAnsi="Century Gothic" w:cs="Arial"/>
          <w:color w:val="231F20"/>
        </w:rPr>
        <w:t>age on the Institutional Research website.</w:t>
      </w:r>
    </w:p>
    <w:p w:rsidR="00D33833" w:rsidRPr="002212B9" w:rsidRDefault="00D33833" w:rsidP="000E23EA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</w:rPr>
      </w:pPr>
    </w:p>
    <w:p w:rsidR="00AA796F" w:rsidRDefault="00AA796F" w:rsidP="00D33833">
      <w:pPr>
        <w:spacing w:before="23" w:after="0" w:line="250" w:lineRule="auto"/>
        <w:ind w:left="100" w:right="85"/>
        <w:rPr>
          <w:rFonts w:ascii="Century Gothic" w:eastAsia="Arial" w:hAnsi="Century Gothic" w:cs="Arial"/>
          <w:b/>
          <w:color w:val="231F20"/>
          <w:u w:val="single"/>
        </w:rPr>
      </w:pPr>
    </w:p>
    <w:p w:rsidR="00D33833" w:rsidRPr="002212B9" w:rsidRDefault="00D33833" w:rsidP="00D33833">
      <w:pPr>
        <w:spacing w:before="23" w:after="0" w:line="250" w:lineRule="auto"/>
        <w:ind w:left="100" w:right="85"/>
        <w:rPr>
          <w:rFonts w:ascii="Century Gothic" w:eastAsia="Arial" w:hAnsi="Century Gothic" w:cs="Arial"/>
          <w:b/>
          <w:color w:val="231F20"/>
          <w:u w:val="single"/>
        </w:rPr>
      </w:pPr>
      <w:r w:rsidRPr="002212B9">
        <w:rPr>
          <w:rFonts w:ascii="Century Gothic" w:eastAsia="Arial" w:hAnsi="Century Gothic" w:cs="Arial"/>
          <w:b/>
          <w:color w:val="231F20"/>
          <w:u w:val="single"/>
        </w:rPr>
        <w:lastRenderedPageBreak/>
        <w:t>National Student Clearinghouse Total Completion Rate</w:t>
      </w:r>
    </w:p>
    <w:p w:rsidR="00D33833" w:rsidRPr="002212B9" w:rsidRDefault="00D33833" w:rsidP="00BE14D3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</w:rPr>
      </w:pPr>
      <w:r w:rsidRPr="002212B9">
        <w:rPr>
          <w:rFonts w:ascii="Century Gothic" w:eastAsia="Arial" w:hAnsi="Century Gothic" w:cs="Arial"/>
          <w:color w:val="231F20"/>
        </w:rPr>
        <w:t>The National Student Clearinghouse Total Complete Rate is based upon the cohort of first-time degree-seeking students who began their postsecondary studies during the fall term of the cohort year. The cohort includes both full-time and part-time students and excludes dual enrolled high school students. The cohort is followed through June 30th of the sixth academic year and highlights six-year outcomes, including degree and certificate completion and continued enrollment (persistence).</w:t>
      </w:r>
      <w:r w:rsidR="00BE14D3">
        <w:rPr>
          <w:rFonts w:ascii="Century Gothic" w:eastAsia="Arial" w:hAnsi="Century Gothic" w:cs="Arial"/>
          <w:color w:val="231F20"/>
        </w:rPr>
        <w:t xml:space="preserve"> </w:t>
      </w:r>
      <w:r w:rsidRPr="002212B9">
        <w:rPr>
          <w:rFonts w:ascii="Century Gothic" w:eastAsia="Arial" w:hAnsi="Century Gothic" w:cs="Arial"/>
          <w:color w:val="231F20"/>
        </w:rPr>
        <w:t xml:space="preserve">For the last two cohort years, </w:t>
      </w:r>
      <w:r w:rsidR="00F744A8">
        <w:rPr>
          <w:rFonts w:ascii="Century Gothic" w:eastAsia="Arial" w:hAnsi="Century Gothic" w:cs="Arial"/>
          <w:color w:val="231F20"/>
        </w:rPr>
        <w:t xml:space="preserve">For the last two cohort years, </w:t>
      </w:r>
      <w:r w:rsidRPr="002212B9">
        <w:rPr>
          <w:rFonts w:ascii="Century Gothic" w:eastAsia="Arial" w:hAnsi="Century Gothic" w:cs="Arial"/>
          <w:color w:val="231F20"/>
        </w:rPr>
        <w:t xml:space="preserve">TCTC’s overall </w:t>
      </w:r>
      <w:r w:rsidR="00BE14D3">
        <w:rPr>
          <w:rFonts w:ascii="Century Gothic" w:eastAsia="Arial" w:hAnsi="Century Gothic" w:cs="Arial"/>
          <w:color w:val="231F20"/>
        </w:rPr>
        <w:t xml:space="preserve">six-year </w:t>
      </w:r>
      <w:r w:rsidRPr="002212B9">
        <w:rPr>
          <w:rFonts w:ascii="Century Gothic" w:eastAsia="Arial" w:hAnsi="Century Gothic" w:cs="Arial"/>
          <w:color w:val="231F20"/>
        </w:rPr>
        <w:t>completion rate has exceeded the national benchmark for two-year institutions by more than 10 percentage points.</w:t>
      </w:r>
    </w:p>
    <w:p w:rsidR="00D33833" w:rsidRPr="002212B9" w:rsidRDefault="00D33833" w:rsidP="00D33833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</w:rPr>
      </w:pPr>
    </w:p>
    <w:tbl>
      <w:tblPr>
        <w:tblStyle w:val="TableGrid"/>
        <w:tblW w:w="10728" w:type="dxa"/>
        <w:tblInd w:w="175" w:type="dxa"/>
        <w:tblLook w:val="04A0" w:firstRow="1" w:lastRow="0" w:firstColumn="1" w:lastColumn="0" w:noHBand="0" w:noVBand="1"/>
      </w:tblPr>
      <w:tblGrid>
        <w:gridCol w:w="5688"/>
        <w:gridCol w:w="2520"/>
        <w:gridCol w:w="2520"/>
      </w:tblGrid>
      <w:tr w:rsidR="00D33833" w:rsidRPr="00D33833" w:rsidTr="00E96A58">
        <w:tc>
          <w:tcPr>
            <w:tcW w:w="5688" w:type="dxa"/>
          </w:tcPr>
          <w:p w:rsidR="00E96A58" w:rsidRDefault="00E96A58" w:rsidP="00E96A58">
            <w:pPr>
              <w:pStyle w:val="NoSpacing"/>
              <w:rPr>
                <w:rFonts w:ascii="Century Gothic" w:hAnsi="Century Gothic"/>
                <w:b/>
                <w:sz w:val="24"/>
              </w:rPr>
            </w:pPr>
          </w:p>
          <w:p w:rsidR="00D33833" w:rsidRPr="00E96A58" w:rsidRDefault="00D33833" w:rsidP="00E96A58">
            <w:pPr>
              <w:pStyle w:val="NoSpacing"/>
              <w:rPr>
                <w:rFonts w:ascii="Century Gothic" w:hAnsi="Century Gothic"/>
                <w:b/>
                <w:sz w:val="24"/>
              </w:rPr>
            </w:pPr>
            <w:r w:rsidRPr="00E96A58">
              <w:rPr>
                <w:rFonts w:ascii="Century Gothic" w:hAnsi="Century Gothic"/>
                <w:b/>
                <w:sz w:val="24"/>
              </w:rPr>
              <w:t>Cohort</w:t>
            </w:r>
          </w:p>
        </w:tc>
        <w:tc>
          <w:tcPr>
            <w:tcW w:w="2520" w:type="dxa"/>
            <w:vAlign w:val="bottom"/>
          </w:tcPr>
          <w:p w:rsidR="00D33833" w:rsidRPr="00E96A58" w:rsidRDefault="00D33833" w:rsidP="00E96A58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E96A58">
              <w:rPr>
                <w:rFonts w:ascii="Century Gothic" w:hAnsi="Century Gothic"/>
                <w:b/>
                <w:sz w:val="24"/>
              </w:rPr>
              <w:t>Fall 2012</w:t>
            </w:r>
          </w:p>
        </w:tc>
        <w:tc>
          <w:tcPr>
            <w:tcW w:w="2520" w:type="dxa"/>
            <w:vAlign w:val="bottom"/>
          </w:tcPr>
          <w:p w:rsidR="00D33833" w:rsidRPr="00E96A58" w:rsidRDefault="00D33833" w:rsidP="00E96A58">
            <w:pPr>
              <w:pStyle w:val="NoSpacing"/>
              <w:jc w:val="center"/>
              <w:rPr>
                <w:rFonts w:ascii="Century Gothic" w:hAnsi="Century Gothic"/>
                <w:b/>
                <w:sz w:val="24"/>
              </w:rPr>
            </w:pPr>
            <w:r w:rsidRPr="00E96A58">
              <w:rPr>
                <w:rFonts w:ascii="Century Gothic" w:hAnsi="Century Gothic"/>
                <w:b/>
                <w:sz w:val="24"/>
              </w:rPr>
              <w:t>Fall 2013</w:t>
            </w:r>
          </w:p>
        </w:tc>
      </w:tr>
      <w:tr w:rsidR="00D33833" w:rsidRPr="00D33833" w:rsidTr="00D33833">
        <w:tc>
          <w:tcPr>
            <w:tcW w:w="5688" w:type="dxa"/>
            <w:vAlign w:val="center"/>
          </w:tcPr>
          <w:p w:rsidR="00D33833" w:rsidRPr="00D33833" w:rsidRDefault="00D33833" w:rsidP="00D33833">
            <w:pPr>
              <w:rPr>
                <w:rFonts w:ascii="Century Gothic" w:hAnsi="Century Gothic" w:cstheme="minorHAnsi"/>
              </w:rPr>
            </w:pPr>
            <w:r w:rsidRPr="00D33833">
              <w:rPr>
                <w:rFonts w:ascii="Century Gothic" w:hAnsi="Century Gothic" w:cstheme="minorHAnsi"/>
              </w:rPr>
              <w:t>TCTC Overall Total Completion Rate</w:t>
            </w:r>
          </w:p>
        </w:tc>
        <w:tc>
          <w:tcPr>
            <w:tcW w:w="2520" w:type="dxa"/>
            <w:vAlign w:val="center"/>
          </w:tcPr>
          <w:p w:rsidR="00D33833" w:rsidRPr="00D33833" w:rsidRDefault="00D33833" w:rsidP="0070207C">
            <w:pPr>
              <w:jc w:val="center"/>
              <w:rPr>
                <w:rFonts w:ascii="Century Gothic" w:hAnsi="Century Gothic" w:cstheme="minorHAnsi"/>
              </w:rPr>
            </w:pPr>
            <w:r w:rsidRPr="00D33833">
              <w:rPr>
                <w:rFonts w:ascii="Century Gothic" w:hAnsi="Century Gothic" w:cstheme="minorHAnsi"/>
              </w:rPr>
              <w:t>50.96%</w:t>
            </w:r>
          </w:p>
        </w:tc>
        <w:tc>
          <w:tcPr>
            <w:tcW w:w="2520" w:type="dxa"/>
            <w:vAlign w:val="center"/>
          </w:tcPr>
          <w:p w:rsidR="00D33833" w:rsidRPr="00D33833" w:rsidRDefault="00D33833" w:rsidP="0070207C">
            <w:pPr>
              <w:jc w:val="center"/>
              <w:rPr>
                <w:rFonts w:ascii="Century Gothic" w:hAnsi="Century Gothic" w:cstheme="minorHAnsi"/>
              </w:rPr>
            </w:pPr>
            <w:r w:rsidRPr="00D33833">
              <w:rPr>
                <w:rFonts w:ascii="Century Gothic" w:hAnsi="Century Gothic" w:cstheme="minorHAnsi"/>
              </w:rPr>
              <w:t>55.59%</w:t>
            </w:r>
          </w:p>
        </w:tc>
      </w:tr>
      <w:tr w:rsidR="00D33833" w:rsidRPr="00D33833" w:rsidTr="00D33833">
        <w:tc>
          <w:tcPr>
            <w:tcW w:w="5688" w:type="dxa"/>
            <w:vAlign w:val="center"/>
          </w:tcPr>
          <w:p w:rsidR="00D33833" w:rsidRPr="00D33833" w:rsidRDefault="00D33833" w:rsidP="0070207C">
            <w:pPr>
              <w:rPr>
                <w:rFonts w:ascii="Century Gothic" w:hAnsi="Century Gothic" w:cstheme="minorHAnsi"/>
              </w:rPr>
            </w:pPr>
            <w:r w:rsidRPr="00D33833">
              <w:rPr>
                <w:rFonts w:ascii="Century Gothic" w:hAnsi="Century Gothic" w:cstheme="minorHAnsi"/>
              </w:rPr>
              <w:t>Minimum Threshold</w:t>
            </w:r>
          </w:p>
        </w:tc>
        <w:tc>
          <w:tcPr>
            <w:tcW w:w="2520" w:type="dxa"/>
            <w:vAlign w:val="center"/>
          </w:tcPr>
          <w:p w:rsidR="00D33833" w:rsidRPr="00D33833" w:rsidRDefault="00D33833" w:rsidP="0070207C">
            <w:pPr>
              <w:jc w:val="center"/>
              <w:rPr>
                <w:rFonts w:ascii="Century Gothic" w:hAnsi="Century Gothic" w:cstheme="minorHAnsi"/>
              </w:rPr>
            </w:pPr>
            <w:r w:rsidRPr="00D33833">
              <w:rPr>
                <w:rFonts w:ascii="Century Gothic" w:hAnsi="Century Gothic" w:cstheme="minorHAnsi"/>
              </w:rPr>
              <w:t>*Meet or exceed National Benchmark</w:t>
            </w:r>
          </w:p>
        </w:tc>
        <w:tc>
          <w:tcPr>
            <w:tcW w:w="2520" w:type="dxa"/>
            <w:vAlign w:val="center"/>
          </w:tcPr>
          <w:p w:rsidR="00D33833" w:rsidRPr="00D33833" w:rsidRDefault="00D33833" w:rsidP="0070207C">
            <w:pPr>
              <w:jc w:val="center"/>
              <w:rPr>
                <w:rFonts w:ascii="Century Gothic" w:hAnsi="Century Gothic" w:cstheme="minorHAnsi"/>
              </w:rPr>
            </w:pPr>
            <w:r w:rsidRPr="00D33833">
              <w:rPr>
                <w:rFonts w:ascii="Century Gothic" w:hAnsi="Century Gothic" w:cstheme="minorHAnsi"/>
              </w:rPr>
              <w:t>*Meet or exceed National Benchmark</w:t>
            </w:r>
          </w:p>
        </w:tc>
      </w:tr>
      <w:tr w:rsidR="00D33833" w:rsidRPr="00D33833" w:rsidTr="00D33833">
        <w:trPr>
          <w:trHeight w:val="647"/>
        </w:trPr>
        <w:tc>
          <w:tcPr>
            <w:tcW w:w="5688" w:type="dxa"/>
            <w:vAlign w:val="center"/>
          </w:tcPr>
          <w:p w:rsidR="00D33833" w:rsidRPr="00D33833" w:rsidRDefault="00D33833" w:rsidP="0070207C">
            <w:pPr>
              <w:rPr>
                <w:rFonts w:ascii="Century Gothic" w:hAnsi="Century Gothic" w:cstheme="minorHAnsi"/>
              </w:rPr>
            </w:pPr>
            <w:r w:rsidRPr="00D33833">
              <w:rPr>
                <w:rFonts w:ascii="Century Gothic" w:hAnsi="Century Gothic" w:cstheme="minorHAnsi"/>
              </w:rPr>
              <w:t>National Benchmark Overall Total Completion Rate for Two-Year Institutions</w:t>
            </w:r>
          </w:p>
        </w:tc>
        <w:tc>
          <w:tcPr>
            <w:tcW w:w="2520" w:type="dxa"/>
            <w:vAlign w:val="center"/>
          </w:tcPr>
          <w:p w:rsidR="00D33833" w:rsidRPr="00D33833" w:rsidRDefault="00D33833" w:rsidP="0070207C">
            <w:pPr>
              <w:jc w:val="center"/>
              <w:rPr>
                <w:rFonts w:ascii="Century Gothic" w:hAnsi="Century Gothic" w:cstheme="minorHAnsi"/>
              </w:rPr>
            </w:pPr>
            <w:r w:rsidRPr="00D33833">
              <w:rPr>
                <w:rFonts w:ascii="Century Gothic" w:hAnsi="Century Gothic" w:cstheme="minorHAnsi"/>
              </w:rPr>
              <w:t>39.22%</w:t>
            </w:r>
          </w:p>
        </w:tc>
        <w:tc>
          <w:tcPr>
            <w:tcW w:w="2520" w:type="dxa"/>
            <w:vAlign w:val="center"/>
          </w:tcPr>
          <w:p w:rsidR="00D33833" w:rsidRPr="00D33833" w:rsidRDefault="00D33833" w:rsidP="0070207C">
            <w:pPr>
              <w:jc w:val="center"/>
              <w:rPr>
                <w:rFonts w:ascii="Century Gothic" w:hAnsi="Century Gothic" w:cstheme="minorHAnsi"/>
              </w:rPr>
            </w:pPr>
            <w:r w:rsidRPr="00D33833">
              <w:rPr>
                <w:rFonts w:ascii="Century Gothic" w:hAnsi="Century Gothic" w:cstheme="minorHAnsi"/>
              </w:rPr>
              <w:t>40.76%</w:t>
            </w:r>
          </w:p>
        </w:tc>
      </w:tr>
    </w:tbl>
    <w:p w:rsidR="00FD1BC0" w:rsidRDefault="00FD1BC0" w:rsidP="00FD1BC0">
      <w:pPr>
        <w:spacing w:before="23" w:after="0" w:line="250" w:lineRule="auto"/>
        <w:ind w:left="100" w:right="85"/>
        <w:rPr>
          <w:rFonts w:ascii="Century Gothic" w:eastAsia="Arial" w:hAnsi="Century Gothic" w:cs="Arial"/>
          <w:i/>
          <w:color w:val="231F20"/>
          <w:szCs w:val="24"/>
        </w:rPr>
      </w:pPr>
    </w:p>
    <w:p w:rsidR="00D33833" w:rsidRDefault="00FD1BC0" w:rsidP="00FD1BC0">
      <w:pPr>
        <w:spacing w:before="23" w:after="0" w:line="250" w:lineRule="auto"/>
        <w:ind w:left="100" w:right="85"/>
        <w:rPr>
          <w:rFonts w:ascii="Century Gothic" w:eastAsia="Arial" w:hAnsi="Century Gothic" w:cs="Arial"/>
          <w:i/>
          <w:color w:val="231F20"/>
          <w:szCs w:val="24"/>
        </w:rPr>
      </w:pPr>
      <w:r w:rsidRPr="00FD1BC0">
        <w:rPr>
          <w:rFonts w:ascii="Century Gothic" w:eastAsia="Arial" w:hAnsi="Century Gothic" w:cs="Arial"/>
          <w:i/>
          <w:color w:val="231F20"/>
          <w:szCs w:val="24"/>
        </w:rPr>
        <w:t xml:space="preserve">Data Source: The Total Completion Rate data comes from the National Student Clearinghouse Research Center in their </w:t>
      </w:r>
      <w:proofErr w:type="spellStart"/>
      <w:r w:rsidRPr="00FD1BC0">
        <w:rPr>
          <w:rFonts w:ascii="Century Gothic" w:eastAsia="Arial" w:hAnsi="Century Gothic" w:cs="Arial"/>
          <w:i/>
          <w:color w:val="231F20"/>
          <w:szCs w:val="24"/>
        </w:rPr>
        <w:t>StudentTracker</w:t>
      </w:r>
      <w:proofErr w:type="spellEnd"/>
      <w:r w:rsidRPr="00FD1BC0">
        <w:rPr>
          <w:rFonts w:ascii="Century Gothic" w:eastAsia="Arial" w:hAnsi="Century Gothic" w:cs="Arial"/>
          <w:i/>
          <w:color w:val="231F20"/>
          <w:szCs w:val="24"/>
        </w:rPr>
        <w:t xml:space="preserve"> Postsecondary Completions Institutional Benchmark Report. As stated in the report, National Student Clearinghouse draws their data from the Enrollment Reporting and </w:t>
      </w:r>
      <w:proofErr w:type="spellStart"/>
      <w:r w:rsidRPr="00FD1BC0">
        <w:rPr>
          <w:rFonts w:ascii="Century Gothic" w:eastAsia="Arial" w:hAnsi="Century Gothic" w:cs="Arial"/>
          <w:i/>
          <w:color w:val="231F20"/>
          <w:szCs w:val="24"/>
        </w:rPr>
        <w:t>DegreeVerify</w:t>
      </w:r>
      <w:proofErr w:type="spellEnd"/>
      <w:r w:rsidRPr="00FD1BC0">
        <w:rPr>
          <w:rFonts w:ascii="Century Gothic" w:eastAsia="Arial" w:hAnsi="Century Gothic" w:cs="Arial"/>
          <w:i/>
          <w:color w:val="231F20"/>
          <w:szCs w:val="24"/>
        </w:rPr>
        <w:t xml:space="preserve"> services of the National Student Clearinghouse.</w:t>
      </w:r>
    </w:p>
    <w:p w:rsidR="00FD1BC0" w:rsidRDefault="00FD1BC0" w:rsidP="00FD1BC0">
      <w:pPr>
        <w:spacing w:before="23" w:after="0" w:line="250" w:lineRule="auto"/>
        <w:ind w:left="100" w:right="85"/>
        <w:rPr>
          <w:rFonts w:ascii="Century Gothic" w:eastAsia="Arial" w:hAnsi="Century Gothic" w:cs="Arial"/>
          <w:i/>
          <w:color w:val="231F20"/>
          <w:szCs w:val="24"/>
        </w:rPr>
      </w:pPr>
    </w:p>
    <w:p w:rsidR="00FD1BC0" w:rsidRDefault="003E1C93" w:rsidP="00FD1BC0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  <w:szCs w:val="24"/>
        </w:rPr>
      </w:pPr>
      <w:r>
        <w:rPr>
          <w:rFonts w:ascii="Century Gothic" w:eastAsia="Arial" w:hAnsi="Century Gothic" w:cs="Arial"/>
          <w:color w:val="231F20"/>
          <w:szCs w:val="24"/>
        </w:rPr>
        <w:t xml:space="preserve">More detailed data on TCTC’s </w:t>
      </w:r>
      <w:r w:rsidR="00416DAC">
        <w:rPr>
          <w:rFonts w:ascii="Century Gothic" w:eastAsia="Arial" w:hAnsi="Century Gothic" w:cs="Arial"/>
          <w:color w:val="231F20"/>
          <w:szCs w:val="24"/>
        </w:rPr>
        <w:t>total completion rate</w:t>
      </w:r>
      <w:r w:rsidR="0078335A">
        <w:rPr>
          <w:rFonts w:ascii="Century Gothic" w:eastAsia="Arial" w:hAnsi="Century Gothic" w:cs="Arial"/>
          <w:color w:val="231F20"/>
          <w:szCs w:val="24"/>
        </w:rPr>
        <w:t>s</w:t>
      </w:r>
      <w:r w:rsidR="00416DAC">
        <w:rPr>
          <w:rFonts w:ascii="Century Gothic" w:eastAsia="Arial" w:hAnsi="Century Gothic" w:cs="Arial"/>
          <w:color w:val="231F20"/>
          <w:szCs w:val="24"/>
        </w:rPr>
        <w:t xml:space="preserve">, including the full </w:t>
      </w:r>
      <w:r w:rsidR="00416DAC" w:rsidRPr="00FD1BC0">
        <w:rPr>
          <w:rFonts w:ascii="Century Gothic" w:eastAsia="Arial" w:hAnsi="Century Gothic" w:cs="Arial"/>
          <w:color w:val="231F20"/>
          <w:szCs w:val="24"/>
        </w:rPr>
        <w:t>National Student Clearinghouse Completions Benchmark Reports</w:t>
      </w:r>
      <w:r w:rsidR="00416DAC">
        <w:rPr>
          <w:rFonts w:ascii="Century Gothic" w:eastAsia="Arial" w:hAnsi="Century Gothic" w:cs="Arial"/>
          <w:color w:val="231F20"/>
          <w:szCs w:val="24"/>
        </w:rPr>
        <w:t xml:space="preserve"> and disaggregated total completion rates by student demographic groups, can be found</w:t>
      </w:r>
      <w:r w:rsidR="00FD1BC0" w:rsidRPr="00FD1BC0">
        <w:rPr>
          <w:rFonts w:ascii="Century Gothic" w:eastAsia="Arial" w:hAnsi="Century Gothic" w:cs="Arial"/>
          <w:color w:val="231F20"/>
          <w:szCs w:val="24"/>
        </w:rPr>
        <w:t xml:space="preserve"> on the </w:t>
      </w:r>
      <w:hyperlink r:id="rId10" w:history="1">
        <w:r w:rsidR="00FD1BC0" w:rsidRPr="00416DAC">
          <w:rPr>
            <w:rStyle w:val="Hyperlink"/>
            <w:rFonts w:ascii="Century Gothic" w:eastAsia="Arial" w:hAnsi="Century Gothic" w:cs="Arial"/>
            <w:szCs w:val="24"/>
          </w:rPr>
          <w:t>SACSCOC Student Achievement Data</w:t>
        </w:r>
      </w:hyperlink>
      <w:r w:rsidR="00FD1BC0" w:rsidRPr="00FD1BC0">
        <w:rPr>
          <w:rFonts w:ascii="Century Gothic" w:eastAsia="Arial" w:hAnsi="Century Gothic" w:cs="Arial"/>
          <w:color w:val="231F20"/>
          <w:szCs w:val="24"/>
        </w:rPr>
        <w:t xml:space="preserve"> page on the Institutional Research website.</w:t>
      </w:r>
    </w:p>
    <w:p w:rsidR="00AA796F" w:rsidRPr="00FD1BC0" w:rsidRDefault="00AA796F" w:rsidP="00FD1BC0">
      <w:pPr>
        <w:spacing w:before="23" w:after="0" w:line="250" w:lineRule="auto"/>
        <w:ind w:left="100" w:right="85"/>
        <w:rPr>
          <w:rFonts w:ascii="Century Gothic" w:eastAsia="Arial" w:hAnsi="Century Gothic" w:cs="Arial"/>
          <w:color w:val="231F20"/>
          <w:szCs w:val="24"/>
        </w:rPr>
      </w:pPr>
    </w:p>
    <w:sectPr w:rsidR="00AA796F" w:rsidRPr="00FD1BC0" w:rsidSect="00EA06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D"/>
    <w:rsid w:val="0002585F"/>
    <w:rsid w:val="000E23EA"/>
    <w:rsid w:val="00120232"/>
    <w:rsid w:val="00174043"/>
    <w:rsid w:val="002212B9"/>
    <w:rsid w:val="002928F7"/>
    <w:rsid w:val="003C2315"/>
    <w:rsid w:val="003D3C70"/>
    <w:rsid w:val="003E1C93"/>
    <w:rsid w:val="00416DAC"/>
    <w:rsid w:val="00432154"/>
    <w:rsid w:val="00502DD7"/>
    <w:rsid w:val="0052402F"/>
    <w:rsid w:val="005E2425"/>
    <w:rsid w:val="006B25DC"/>
    <w:rsid w:val="006F3FA4"/>
    <w:rsid w:val="0071425B"/>
    <w:rsid w:val="0074155B"/>
    <w:rsid w:val="0078335A"/>
    <w:rsid w:val="007D5051"/>
    <w:rsid w:val="007E2EBC"/>
    <w:rsid w:val="007E77B8"/>
    <w:rsid w:val="008225AA"/>
    <w:rsid w:val="00853A76"/>
    <w:rsid w:val="008B4B7E"/>
    <w:rsid w:val="0091391E"/>
    <w:rsid w:val="00945F4F"/>
    <w:rsid w:val="00951F69"/>
    <w:rsid w:val="00993A0C"/>
    <w:rsid w:val="00A53763"/>
    <w:rsid w:val="00A603F4"/>
    <w:rsid w:val="00AA796F"/>
    <w:rsid w:val="00AC626A"/>
    <w:rsid w:val="00B25B4A"/>
    <w:rsid w:val="00B5521F"/>
    <w:rsid w:val="00B802E4"/>
    <w:rsid w:val="00BE14D3"/>
    <w:rsid w:val="00CC54DB"/>
    <w:rsid w:val="00CD16C5"/>
    <w:rsid w:val="00CD52C9"/>
    <w:rsid w:val="00CE1477"/>
    <w:rsid w:val="00D2609B"/>
    <w:rsid w:val="00D33833"/>
    <w:rsid w:val="00E3143B"/>
    <w:rsid w:val="00E51F51"/>
    <w:rsid w:val="00E96A58"/>
    <w:rsid w:val="00EA069D"/>
    <w:rsid w:val="00EA473D"/>
    <w:rsid w:val="00ED336E"/>
    <w:rsid w:val="00F32281"/>
    <w:rsid w:val="00F744A8"/>
    <w:rsid w:val="00FD1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FF9D58-63D9-4A25-B2EF-C7092511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69D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4">
    <w:name w:val="h4"/>
    <w:basedOn w:val="DefaultParagraphFont"/>
    <w:rsid w:val="00EA069D"/>
  </w:style>
  <w:style w:type="table" w:styleId="TableGrid">
    <w:name w:val="Table Grid"/>
    <w:basedOn w:val="TableNormal"/>
    <w:uiPriority w:val="39"/>
    <w:rsid w:val="00EA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3">
    <w:name w:val="Grid Table 4 Accent 3"/>
    <w:basedOn w:val="TableNormal"/>
    <w:uiPriority w:val="49"/>
    <w:rsid w:val="00EA069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B552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521F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96A58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ctcresearch.weebly.com/fall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ctcresearch.weebly.com/awards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ctcresearch.weebly.com/retentionpersistence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ctcresearch.weebly.com/licensure-exam-pass-rate.html" TargetMode="External"/><Relationship Id="rId10" Type="http://schemas.openxmlformats.org/officeDocument/2006/relationships/hyperlink" Target="https://tctcresearch.weebly.com/sacscoc.html" TargetMode="External"/><Relationship Id="rId4" Type="http://schemas.openxmlformats.org/officeDocument/2006/relationships/hyperlink" Target="https://tctcresearch.weebly.com/placement.html" TargetMode="External"/><Relationship Id="rId9" Type="http://schemas.openxmlformats.org/officeDocument/2006/relationships/hyperlink" Target="https://tctcresearch.weebly.com/graduationsucces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1303</Words>
  <Characters>7430</Characters>
  <Application>Microsoft Office Word</Application>
  <DocSecurity>4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Bryson, Karen C.</dc:creator>
  <cp:keywords/>
  <dc:description/>
  <cp:lastModifiedBy>Marino, Christopher J.</cp:lastModifiedBy>
  <cp:revision>2</cp:revision>
  <dcterms:created xsi:type="dcterms:W3CDTF">2022-09-15T15:11:00Z</dcterms:created>
  <dcterms:modified xsi:type="dcterms:W3CDTF">2022-09-15T15:11:00Z</dcterms:modified>
</cp:coreProperties>
</file>